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3" w:rsidRPr="00764A1C" w:rsidRDefault="00687DE3" w:rsidP="00C900A2">
      <w:pPr>
        <w:pStyle w:val="Titre"/>
        <w:spacing w:before="480"/>
        <w:rPr>
          <w:kern w:val="0"/>
        </w:rPr>
      </w:pPr>
      <w:bookmarkStart w:id="0" w:name="_GoBack"/>
      <w:bookmarkEnd w:id="0"/>
      <w:r w:rsidRPr="00764A1C">
        <w:rPr>
          <w:kern w:val="0"/>
        </w:rPr>
        <w:t>Communiqué fiscal</w:t>
      </w:r>
    </w:p>
    <w:p w:rsidR="00097212" w:rsidRPr="003A1030" w:rsidRDefault="00097212" w:rsidP="00E53CEF">
      <w:pPr>
        <w:pStyle w:val="NormalWeb"/>
        <w:rPr>
          <w:lang w:val="fr-FR"/>
        </w:rPr>
      </w:pPr>
    </w:p>
    <w:p w:rsidR="00687DE3" w:rsidRPr="00764A1C" w:rsidRDefault="00687DE3" w:rsidP="00E53CEF">
      <w:pPr>
        <w:pStyle w:val="Titre1"/>
        <w:rPr>
          <w:smallCaps/>
        </w:rPr>
      </w:pPr>
      <w:r w:rsidRPr="00764A1C">
        <w:t>SECTION</w:t>
      </w:r>
      <w:r w:rsidR="00CE0A0D" w:rsidRPr="00764A1C">
        <w:t> </w:t>
      </w:r>
      <w:r w:rsidRPr="00764A1C">
        <w:t>1 – IMPÔTS SUR LE REVENU</w:t>
      </w:r>
    </w:p>
    <w:p w:rsidR="005F0046" w:rsidRDefault="005F0046" w:rsidP="00E53CEF"/>
    <w:p w:rsidR="00D12305" w:rsidRPr="00D12305" w:rsidRDefault="00D12305" w:rsidP="00E53CEF"/>
    <w:p w:rsidR="00001829" w:rsidRPr="00D12305" w:rsidRDefault="00FD030C" w:rsidP="00E53CEF">
      <w:r>
        <w:t>D</w:t>
      </w:r>
      <w:r w:rsidR="007074E2">
        <w:t>’</w:t>
      </w:r>
      <w:r w:rsidR="004C17E7">
        <w:t xml:space="preserve">autres </w:t>
      </w:r>
      <w:r>
        <w:t>m</w:t>
      </w:r>
      <w:r w:rsidR="00D12305" w:rsidRPr="00D12305">
        <w:t>esures fiscales annoncées le 2 décembre 2014</w:t>
      </w:r>
      <w:r>
        <w:t xml:space="preserve"> </w:t>
      </w:r>
    </w:p>
    <w:p w:rsidR="00D12305" w:rsidRPr="00D12305" w:rsidRDefault="00D12305" w:rsidP="00E53CEF"/>
    <w:p w:rsidR="00D12305" w:rsidRPr="00E53CEF" w:rsidRDefault="00E53CEF" w:rsidP="00E53CEF">
      <w:pPr>
        <w:rPr>
          <w:b/>
        </w:rPr>
      </w:pPr>
      <w:r w:rsidRPr="00E53CEF">
        <w:rPr>
          <w:b/>
        </w:rPr>
        <w:t>1.</w:t>
      </w:r>
      <w:r w:rsidR="009447EE">
        <w:rPr>
          <w:b/>
        </w:rPr>
        <w:t xml:space="preserve"> </w:t>
      </w:r>
      <w:r w:rsidR="004C17E7" w:rsidRPr="00E53CEF">
        <w:rPr>
          <w:b/>
        </w:rPr>
        <w:t>Réduction du taux de cotisation au Fonds des services de santé pour les PME</w:t>
      </w:r>
    </w:p>
    <w:p w:rsidR="00D12305" w:rsidRPr="00E53CEF" w:rsidRDefault="00D12305" w:rsidP="00E53CEF">
      <w:pPr>
        <w:rPr>
          <w:i/>
        </w:rPr>
      </w:pPr>
    </w:p>
    <w:p w:rsidR="00D12305" w:rsidRDefault="00EE1479" w:rsidP="00E53CEF">
      <w:r>
        <w:t>L</w:t>
      </w:r>
      <w:r w:rsidR="009F39DD">
        <w:t>es petites et moyennes entreprises (PME) des secteurs primaire et manufacturier pourront bénéficier, à compter de 2015, d</w:t>
      </w:r>
      <w:r w:rsidR="007074E2">
        <w:t>’</w:t>
      </w:r>
      <w:r w:rsidR="009F39DD">
        <w:t>une réduction de leur taux de cotisation au Fonds des services de santé (FSS).</w:t>
      </w:r>
      <w:r w:rsidR="002034F7">
        <w:t xml:space="preserve"> Le taux applicable passera de 2.7</w:t>
      </w:r>
      <w:r w:rsidR="007074E2">
        <w:t> </w:t>
      </w:r>
      <w:r w:rsidR="002034F7">
        <w:t>% à 1.6</w:t>
      </w:r>
      <w:r w:rsidR="007074E2">
        <w:t> </w:t>
      </w:r>
      <w:r w:rsidR="002034F7">
        <w:t>% pour les employeurs admissibles dont la masse salariale totale est inférieure à 1 million de dollars. Pour les employeurs admissibles dont la masse salariale varie de 1 million de dollars à 5 millions de dollars, le taux varie de 1.6</w:t>
      </w:r>
      <w:r w:rsidR="007074E2">
        <w:t> </w:t>
      </w:r>
      <w:r w:rsidR="002034F7">
        <w:t>% à 4.26</w:t>
      </w:r>
      <w:r w:rsidR="007074E2">
        <w:t> </w:t>
      </w:r>
      <w:r w:rsidR="002034F7">
        <w:t xml:space="preserve">%. </w:t>
      </w:r>
    </w:p>
    <w:p w:rsidR="007D327B" w:rsidRDefault="007D327B" w:rsidP="00E53CEF"/>
    <w:p w:rsidR="004B1A9A" w:rsidRDefault="00067253" w:rsidP="00E53CEF">
      <w:r>
        <w:t xml:space="preserve">Une </w:t>
      </w:r>
      <w:r w:rsidR="007961DA">
        <w:t>économie</w:t>
      </w:r>
      <w:r>
        <w:t xml:space="preserve"> qui se situe entre 11</w:t>
      </w:r>
      <w:r w:rsidR="007074E2">
        <w:t> 000 </w:t>
      </w:r>
      <w:r>
        <w:t xml:space="preserve">$ et </w:t>
      </w:r>
      <w:r w:rsidR="007961DA">
        <w:t>pr</w:t>
      </w:r>
      <w:r w:rsidR="00695F3B">
        <w:t>è</w:t>
      </w:r>
      <w:r w:rsidR="007961DA">
        <w:t>s</w:t>
      </w:r>
      <w:r>
        <w:t xml:space="preserve"> de 17</w:t>
      </w:r>
      <w:r w:rsidR="007074E2">
        <w:t> 000 </w:t>
      </w:r>
      <w:r>
        <w:t xml:space="preserve">$ selon la masse salariale. Nous vous rappelons que la masse salariale qui sert à </w:t>
      </w:r>
      <w:r w:rsidR="007961DA">
        <w:t>déterminer</w:t>
      </w:r>
      <w:r>
        <w:t xml:space="preserve"> le taux de FSS, est </w:t>
      </w:r>
      <w:r w:rsidR="007961DA">
        <w:t>calculée</w:t>
      </w:r>
      <w:r>
        <w:t xml:space="preserve"> en incluant les masses </w:t>
      </w:r>
      <w:r w:rsidR="007961DA">
        <w:t>salariales</w:t>
      </w:r>
      <w:r>
        <w:t xml:space="preserve"> de toutes </w:t>
      </w:r>
      <w:r w:rsidR="007961DA">
        <w:t>les</w:t>
      </w:r>
      <w:r>
        <w:t xml:space="preserve"> </w:t>
      </w:r>
      <w:r w:rsidR="007961DA">
        <w:t>sociétés</w:t>
      </w:r>
      <w:r>
        <w:t xml:space="preserve"> </w:t>
      </w:r>
      <w:r w:rsidR="007961DA">
        <w:t>associées</w:t>
      </w:r>
      <w:r>
        <w:t xml:space="preserve">. </w:t>
      </w:r>
      <w:r w:rsidR="00143DB8">
        <w:t>Voici un tableau illustrant la variation des taux selon la masse salariale.</w:t>
      </w:r>
    </w:p>
    <w:p w:rsidR="00067253" w:rsidRDefault="00067253" w:rsidP="00E53CEF"/>
    <w:p w:rsidR="00067253" w:rsidRDefault="00FD1A2E" w:rsidP="00E53CEF">
      <w:r w:rsidRPr="00FD1A2E">
        <w:rPr>
          <w:u w:val="single"/>
        </w:rPr>
        <w:t>Masse salariale</w:t>
      </w:r>
      <w:r>
        <w:t xml:space="preserve">                     </w:t>
      </w:r>
      <w:r w:rsidRPr="00FD1A2E">
        <w:t xml:space="preserve">          T</w:t>
      </w:r>
      <w:r w:rsidRPr="00FD1A2E">
        <w:rPr>
          <w:u w:val="single"/>
        </w:rPr>
        <w:t>aux de cotisation</w:t>
      </w:r>
      <w:r>
        <w:t xml:space="preserve"> </w:t>
      </w:r>
    </w:p>
    <w:p w:rsidR="00FD1A2E" w:rsidRDefault="00FD1A2E" w:rsidP="00E53CEF"/>
    <w:p w:rsidR="00FD1A2E" w:rsidRDefault="00FD1A2E" w:rsidP="00E53CEF">
      <w:r>
        <w:t xml:space="preserve">                                                     Avant le             </w:t>
      </w:r>
      <w:r w:rsidR="007074E2">
        <w:t>À</w:t>
      </w:r>
      <w:r>
        <w:t xml:space="preserve"> partir du                                         </w:t>
      </w:r>
    </w:p>
    <w:p w:rsidR="00FD1A2E" w:rsidRDefault="00FD1A2E" w:rsidP="00E53CEF">
      <w:r>
        <w:t xml:space="preserve">                                             1er janvier 2015 1er janvier 2015</w:t>
      </w:r>
    </w:p>
    <w:p w:rsidR="00AF5815" w:rsidRDefault="00AF5815" w:rsidP="00E53CEF"/>
    <w:p w:rsidR="00FD1A2E" w:rsidRDefault="00FD1A2E" w:rsidP="00E53CEF">
      <w:r>
        <w:t>1</w:t>
      </w:r>
      <w:r w:rsidR="007074E2">
        <w:t> 000 000 </w:t>
      </w:r>
      <w:r>
        <w:t xml:space="preserve">$             </w:t>
      </w:r>
      <w:r w:rsidR="00AF5815">
        <w:t xml:space="preserve">                      </w:t>
      </w:r>
      <w:r>
        <w:t xml:space="preserve"> 2.70</w:t>
      </w:r>
      <w:r w:rsidR="007074E2">
        <w:t> </w:t>
      </w:r>
      <w:r>
        <w:t xml:space="preserve">%      </w:t>
      </w:r>
      <w:r w:rsidR="00AF5815">
        <w:t xml:space="preserve">          </w:t>
      </w:r>
      <w:r>
        <w:t>1.60</w:t>
      </w:r>
      <w:r w:rsidR="007074E2">
        <w:t> </w:t>
      </w:r>
      <w:r>
        <w:t>%</w:t>
      </w:r>
    </w:p>
    <w:p w:rsidR="007D327B" w:rsidRDefault="007D327B" w:rsidP="00E53CEF"/>
    <w:p w:rsidR="00FD1A2E" w:rsidRDefault="00AF5815" w:rsidP="00E53CEF">
      <w:r>
        <w:t>2</w:t>
      </w:r>
      <w:r w:rsidR="007074E2">
        <w:t> 000 000 </w:t>
      </w:r>
      <w:r>
        <w:t xml:space="preserve">$                                    </w:t>
      </w:r>
      <w:r w:rsidR="007961DA">
        <w:t>3</w:t>
      </w:r>
      <w:r>
        <w:t>.0</w:t>
      </w:r>
      <w:r w:rsidR="007961DA">
        <w:t>9</w:t>
      </w:r>
      <w:r w:rsidR="007074E2">
        <w:t> </w:t>
      </w:r>
      <w:r>
        <w:t xml:space="preserve">%                </w:t>
      </w:r>
      <w:r w:rsidR="007961DA">
        <w:t>2</w:t>
      </w:r>
      <w:r>
        <w:t>.</w:t>
      </w:r>
      <w:r w:rsidR="007961DA">
        <w:t>27</w:t>
      </w:r>
      <w:r w:rsidR="007074E2">
        <w:t> </w:t>
      </w:r>
      <w:r>
        <w:t>%</w:t>
      </w:r>
    </w:p>
    <w:p w:rsidR="007D327B" w:rsidRDefault="007D327B" w:rsidP="00E53CEF"/>
    <w:p w:rsidR="00AF5815" w:rsidRDefault="00AF5815" w:rsidP="00E53CEF">
      <w:r>
        <w:t>3</w:t>
      </w:r>
      <w:r w:rsidR="007074E2">
        <w:t> 000 000 </w:t>
      </w:r>
      <w:r>
        <w:t xml:space="preserve">$                                    </w:t>
      </w:r>
      <w:r w:rsidR="007961DA">
        <w:t>3</w:t>
      </w:r>
      <w:r>
        <w:t>.</w:t>
      </w:r>
      <w:r w:rsidR="007961DA">
        <w:t>48</w:t>
      </w:r>
      <w:r w:rsidR="007074E2">
        <w:t> </w:t>
      </w:r>
      <w:r>
        <w:t xml:space="preserve">%                </w:t>
      </w:r>
      <w:r w:rsidR="007961DA">
        <w:t>2</w:t>
      </w:r>
      <w:r>
        <w:t>.</w:t>
      </w:r>
      <w:r w:rsidR="007961DA">
        <w:t>93</w:t>
      </w:r>
      <w:r w:rsidR="007074E2">
        <w:t> </w:t>
      </w:r>
      <w:r>
        <w:t>%</w:t>
      </w:r>
    </w:p>
    <w:p w:rsidR="007D327B" w:rsidRDefault="007D327B" w:rsidP="00E53CEF"/>
    <w:p w:rsidR="00AF5815" w:rsidRDefault="00AF5815" w:rsidP="00E53CEF">
      <w:r>
        <w:t>4</w:t>
      </w:r>
      <w:r w:rsidR="007074E2">
        <w:t> 000 000 </w:t>
      </w:r>
      <w:r>
        <w:t xml:space="preserve">$                                    </w:t>
      </w:r>
      <w:r w:rsidR="007961DA">
        <w:t>3</w:t>
      </w:r>
      <w:r>
        <w:t>.</w:t>
      </w:r>
      <w:r w:rsidR="007961DA">
        <w:t>87</w:t>
      </w:r>
      <w:r w:rsidR="007074E2">
        <w:t> </w:t>
      </w:r>
      <w:r>
        <w:t xml:space="preserve">%                </w:t>
      </w:r>
      <w:r w:rsidR="007961DA">
        <w:t>3</w:t>
      </w:r>
      <w:r>
        <w:t>.60</w:t>
      </w:r>
      <w:r w:rsidR="007074E2">
        <w:t> </w:t>
      </w:r>
      <w:r>
        <w:t>%</w:t>
      </w:r>
    </w:p>
    <w:p w:rsidR="007D327B" w:rsidRDefault="007D327B" w:rsidP="00E53CEF"/>
    <w:p w:rsidR="007D327B" w:rsidRDefault="00AF5815" w:rsidP="00E53CEF">
      <w:r>
        <w:t>5</w:t>
      </w:r>
      <w:r w:rsidR="007074E2">
        <w:t> 000 000 </w:t>
      </w:r>
      <w:r>
        <w:t xml:space="preserve">$                                    </w:t>
      </w:r>
      <w:r w:rsidR="007961DA">
        <w:t>4</w:t>
      </w:r>
      <w:r>
        <w:t>.</w:t>
      </w:r>
      <w:r w:rsidR="007961DA">
        <w:t>26</w:t>
      </w:r>
      <w:r w:rsidR="007074E2">
        <w:t> </w:t>
      </w:r>
      <w:r>
        <w:t xml:space="preserve">%                </w:t>
      </w:r>
      <w:r w:rsidR="007961DA">
        <w:t>4</w:t>
      </w:r>
      <w:r>
        <w:t>.</w:t>
      </w:r>
      <w:r w:rsidR="007961DA">
        <w:t>2</w:t>
      </w:r>
      <w:r>
        <w:t>6</w:t>
      </w:r>
      <w:r w:rsidR="007074E2">
        <w:t> </w:t>
      </w:r>
      <w:r>
        <w:t>%</w:t>
      </w:r>
    </w:p>
    <w:p w:rsidR="009D6BAC" w:rsidRDefault="009D6BAC" w:rsidP="00E53CEF"/>
    <w:p w:rsidR="00143DB8" w:rsidRDefault="00143DB8" w:rsidP="00E53CEF">
      <w:r>
        <w:t>Les secteurs vis</w:t>
      </w:r>
      <w:r w:rsidR="00F84E39">
        <w:t>é</w:t>
      </w:r>
      <w:r>
        <w:t>s par cette mesure sont ceux de</w:t>
      </w:r>
      <w:r w:rsidR="007074E2">
        <w:t> </w:t>
      </w:r>
      <w:r>
        <w:t>: l</w:t>
      </w:r>
      <w:r w:rsidR="007074E2">
        <w:t>’</w:t>
      </w:r>
      <w:r>
        <w:t>agriculture,</w:t>
      </w:r>
      <w:r w:rsidR="00695F3B">
        <w:t xml:space="preserve"> </w:t>
      </w:r>
      <w:r>
        <w:t xml:space="preserve">de la foresterie, de la </w:t>
      </w:r>
      <w:r w:rsidR="003B668C">
        <w:t>pèche</w:t>
      </w:r>
      <w:r>
        <w:t xml:space="preserve"> et de la chasse, du secteur de l</w:t>
      </w:r>
      <w:r w:rsidR="007074E2">
        <w:t>’</w:t>
      </w:r>
      <w:r>
        <w:t xml:space="preserve">extraction </w:t>
      </w:r>
      <w:r w:rsidR="003B668C">
        <w:t>minière</w:t>
      </w:r>
      <w:r>
        <w:t>, de l</w:t>
      </w:r>
      <w:r w:rsidR="007074E2">
        <w:t>’</w:t>
      </w:r>
      <w:r>
        <w:t>exploitatio</w:t>
      </w:r>
      <w:r w:rsidR="00FA509D">
        <w:t>n e</w:t>
      </w:r>
      <w:r>
        <w:t xml:space="preserve">n </w:t>
      </w:r>
      <w:r w:rsidR="003B668C">
        <w:t>carrière</w:t>
      </w:r>
      <w:r>
        <w:t xml:space="preserve"> e</w:t>
      </w:r>
      <w:r w:rsidR="00FA509D">
        <w:t>t</w:t>
      </w:r>
      <w:r>
        <w:t xml:space="preserve"> </w:t>
      </w:r>
      <w:r w:rsidR="00FA509D">
        <w:t>l</w:t>
      </w:r>
      <w:r w:rsidR="007074E2">
        <w:t>’</w:t>
      </w:r>
      <w:r w:rsidR="00FA509D">
        <w:t xml:space="preserve">extraction </w:t>
      </w:r>
      <w:r>
        <w:t xml:space="preserve">de </w:t>
      </w:r>
      <w:r w:rsidR="003B668C">
        <w:t>pétrole</w:t>
      </w:r>
      <w:r>
        <w:t xml:space="preserve"> et de gaz ou du sect</w:t>
      </w:r>
      <w:r w:rsidR="00FA509D">
        <w:t>eur de la fabrication qui sont regroupées sous les codes</w:t>
      </w:r>
      <w:r w:rsidR="007074E2">
        <w:t> </w:t>
      </w:r>
      <w:r w:rsidR="00FA509D">
        <w:t xml:space="preserve">11, 21 ou 31 à 33 du </w:t>
      </w:r>
      <w:r w:rsidR="003B668C">
        <w:t>Système</w:t>
      </w:r>
      <w:r w:rsidR="00FA509D">
        <w:t xml:space="preserve"> de classification des industries de l</w:t>
      </w:r>
      <w:r w:rsidR="007074E2">
        <w:t>’</w:t>
      </w:r>
      <w:r w:rsidR="003B668C">
        <w:t>Amérique</w:t>
      </w:r>
      <w:r w:rsidR="00FA509D">
        <w:t xml:space="preserve"> du Nord (codes SCIAN)</w:t>
      </w:r>
      <w:r w:rsidR="0070723E">
        <w:t xml:space="preserve">. </w:t>
      </w:r>
      <w:r w:rsidR="00695F3B">
        <w:t>Ce</w:t>
      </w:r>
      <w:r w:rsidR="0070723E">
        <w:t xml:space="preserve">tte nouvelle </w:t>
      </w:r>
      <w:r w:rsidR="00183CCD">
        <w:t>é</w:t>
      </w:r>
      <w:r w:rsidR="0070723E">
        <w:t>chelle de taux s</w:t>
      </w:r>
      <w:r w:rsidR="007074E2">
        <w:t>’</w:t>
      </w:r>
      <w:r w:rsidR="0070723E">
        <w:t>appliquera à tout employeur d</w:t>
      </w:r>
      <w:r w:rsidR="00183CCD">
        <w:t>é</w:t>
      </w:r>
      <w:r w:rsidR="0070723E">
        <w:t>termin</w:t>
      </w:r>
      <w:r w:rsidR="00183CCD">
        <w:t>é</w:t>
      </w:r>
      <w:r w:rsidR="0070723E">
        <w:t xml:space="preserve"> admissible, c</w:t>
      </w:r>
      <w:r w:rsidR="007074E2">
        <w:t>’</w:t>
      </w:r>
      <w:r w:rsidR="0070723E">
        <w:t>est</w:t>
      </w:r>
      <w:r w:rsidR="00695F3B">
        <w:t>-</w:t>
      </w:r>
      <w:r w:rsidR="0070723E">
        <w:t>à</w:t>
      </w:r>
      <w:r w:rsidR="00695F3B">
        <w:t>-</w:t>
      </w:r>
      <w:r w:rsidR="0070723E">
        <w:t>dire tout employeur dont la masse salariale totale pour l</w:t>
      </w:r>
      <w:r w:rsidR="007074E2">
        <w:t>’</w:t>
      </w:r>
      <w:r w:rsidR="0070723E">
        <w:t>ann</w:t>
      </w:r>
      <w:r w:rsidR="00183CCD">
        <w:t>é</w:t>
      </w:r>
      <w:r w:rsidR="0070723E">
        <w:t>e est inf</w:t>
      </w:r>
      <w:r w:rsidR="00183CCD">
        <w:t>é</w:t>
      </w:r>
      <w:r w:rsidR="009D6BAC">
        <w:t xml:space="preserve">rieure </w:t>
      </w:r>
      <w:r w:rsidR="0070723E">
        <w:t>à 5 millions de dollars et à condition que plus de 50</w:t>
      </w:r>
      <w:r w:rsidR="007074E2">
        <w:t> </w:t>
      </w:r>
      <w:r w:rsidR="0070723E">
        <w:t>% de cette masse salariale soit attribuable à des activit</w:t>
      </w:r>
      <w:r w:rsidR="00183CCD">
        <w:t>é</w:t>
      </w:r>
      <w:r w:rsidR="0070723E">
        <w:t>s des secteurs industriels vis</w:t>
      </w:r>
      <w:r w:rsidR="00695F3B">
        <w:t>é</w:t>
      </w:r>
      <w:r w:rsidR="0070723E">
        <w:t xml:space="preserve">s par cette mesure. </w:t>
      </w:r>
    </w:p>
    <w:p w:rsidR="00D71238" w:rsidRDefault="00D71238" w:rsidP="00E53CEF">
      <w:r>
        <w:br w:type="page"/>
      </w:r>
    </w:p>
    <w:p w:rsidR="0070723E" w:rsidRDefault="0070723E" w:rsidP="00E53CEF">
      <w:r>
        <w:lastRenderedPageBreak/>
        <w:t>P</w:t>
      </w:r>
      <w:r w:rsidR="009447EE">
        <w:t>etit rappel</w:t>
      </w:r>
      <w:r>
        <w:t xml:space="preserve"> </w:t>
      </w:r>
    </w:p>
    <w:p w:rsidR="007D327B" w:rsidRDefault="007D327B" w:rsidP="00E53CEF"/>
    <w:p w:rsidR="00D12305" w:rsidRPr="00D12305" w:rsidRDefault="0070723E" w:rsidP="00E53CEF">
      <w:r>
        <w:t xml:space="preserve">Une mesure afin de renforcer la </w:t>
      </w:r>
      <w:r w:rsidR="00BC4A10">
        <w:t>capacité</w:t>
      </w:r>
      <w:r>
        <w:t xml:space="preserve"> d</w:t>
      </w:r>
      <w:r w:rsidR="007074E2">
        <w:t>’</w:t>
      </w:r>
      <w:r>
        <w:t xml:space="preserve">innovation des PME a </w:t>
      </w:r>
      <w:r w:rsidR="00BC4A10">
        <w:t>été</w:t>
      </w:r>
      <w:r>
        <w:t xml:space="preserve"> mise en place lors du budget du 4 juin 2014. Ainsi une </w:t>
      </w:r>
      <w:r w:rsidR="00BC4A10">
        <w:t>réduction</w:t>
      </w:r>
      <w:r>
        <w:t xml:space="preserve"> temporaire de la cotisation au FSS </w:t>
      </w:r>
      <w:r w:rsidR="00BC4A10">
        <w:t>applicable</w:t>
      </w:r>
      <w:r>
        <w:t xml:space="preserve"> jusqu</w:t>
      </w:r>
      <w:r w:rsidR="007074E2">
        <w:t>’</w:t>
      </w:r>
      <w:r w:rsidR="00BC4A10">
        <w:t xml:space="preserve">en </w:t>
      </w:r>
      <w:r>
        <w:t>2020, est accordée à l</w:t>
      </w:r>
      <w:r w:rsidR="007074E2">
        <w:t>’</w:t>
      </w:r>
      <w:r w:rsidR="00BC4A10">
        <w:t>égard</w:t>
      </w:r>
      <w:r>
        <w:t xml:space="preserve"> des emplois à </w:t>
      </w:r>
      <w:r w:rsidR="00BC4A10">
        <w:t>plein</w:t>
      </w:r>
      <w:r>
        <w:t xml:space="preserve"> temps </w:t>
      </w:r>
      <w:r w:rsidR="00BC4A10">
        <w:t>créés</w:t>
      </w:r>
      <w:r>
        <w:t xml:space="preserve"> dans</w:t>
      </w:r>
      <w:r w:rsidR="00BC4A10">
        <w:t xml:space="preserve"> </w:t>
      </w:r>
      <w:r>
        <w:t>le secteur des sciences na</w:t>
      </w:r>
      <w:r w:rsidR="00BC4A10">
        <w:t>t</w:t>
      </w:r>
      <w:r>
        <w:t>ure</w:t>
      </w:r>
      <w:r w:rsidR="00BC4A10">
        <w:t>lles</w:t>
      </w:r>
      <w:r>
        <w:t xml:space="preserve"> et appliqu</w:t>
      </w:r>
      <w:r w:rsidR="00BC4A10">
        <w:t>é</w:t>
      </w:r>
      <w:r w:rsidR="001D4522">
        <w:t>es</w:t>
      </w:r>
      <w:r w:rsidR="007961DA">
        <w:t xml:space="preserve"> </w:t>
      </w:r>
    </w:p>
    <w:p w:rsidR="00407034" w:rsidRDefault="00407034" w:rsidP="00E53CEF"/>
    <w:p w:rsidR="00A854AB" w:rsidRPr="007D327B" w:rsidRDefault="00A854AB" w:rsidP="00E53CEF"/>
    <w:p w:rsidR="001D4522" w:rsidRPr="009447EE" w:rsidRDefault="009447EE" w:rsidP="00E53CEF">
      <w:pPr>
        <w:rPr>
          <w:b/>
        </w:rPr>
      </w:pPr>
      <w:r w:rsidRPr="009447EE">
        <w:rPr>
          <w:b/>
        </w:rPr>
        <w:t xml:space="preserve">2. </w:t>
      </w:r>
      <w:r w:rsidR="001D4522" w:rsidRPr="009447EE">
        <w:rPr>
          <w:b/>
        </w:rPr>
        <w:t xml:space="preserve">Introduction de seuils de dépenses minimales admissibles aux </w:t>
      </w:r>
      <w:r w:rsidR="00183CCD" w:rsidRPr="009447EE">
        <w:rPr>
          <w:b/>
        </w:rPr>
        <w:t>crédits</w:t>
      </w:r>
      <w:r w:rsidR="001D4522" w:rsidRPr="009447EE">
        <w:rPr>
          <w:b/>
        </w:rPr>
        <w:t xml:space="preserve"> d</w:t>
      </w:r>
      <w:r w:rsidR="007074E2">
        <w:rPr>
          <w:b/>
        </w:rPr>
        <w:t>’</w:t>
      </w:r>
      <w:r w:rsidR="00183CCD" w:rsidRPr="009447EE">
        <w:rPr>
          <w:b/>
        </w:rPr>
        <w:t>impôts</w:t>
      </w:r>
      <w:r w:rsidR="001D4522" w:rsidRPr="009447EE">
        <w:rPr>
          <w:b/>
        </w:rPr>
        <w:t xml:space="preserve"> à la Recherche et </w:t>
      </w:r>
      <w:r w:rsidR="00183CCD" w:rsidRPr="009447EE">
        <w:rPr>
          <w:b/>
        </w:rPr>
        <w:t>Développement</w:t>
      </w:r>
      <w:r w:rsidR="001D4522" w:rsidRPr="009447EE">
        <w:rPr>
          <w:b/>
        </w:rPr>
        <w:t xml:space="preserve"> (R&amp;D) et au </w:t>
      </w:r>
      <w:r w:rsidR="00183CCD" w:rsidRPr="009447EE">
        <w:rPr>
          <w:b/>
        </w:rPr>
        <w:t>crédit</w:t>
      </w:r>
      <w:r w:rsidR="001D4522" w:rsidRPr="009447EE">
        <w:rPr>
          <w:b/>
        </w:rPr>
        <w:t xml:space="preserve"> </w:t>
      </w:r>
      <w:r w:rsidR="00183CCD" w:rsidRPr="009447EE">
        <w:rPr>
          <w:b/>
        </w:rPr>
        <w:t>d</w:t>
      </w:r>
      <w:r w:rsidR="007074E2">
        <w:rPr>
          <w:b/>
        </w:rPr>
        <w:t>’</w:t>
      </w:r>
      <w:r w:rsidR="00183CCD" w:rsidRPr="009447EE">
        <w:rPr>
          <w:b/>
        </w:rPr>
        <w:t>impôt</w:t>
      </w:r>
      <w:r w:rsidR="001D4522" w:rsidRPr="009447EE">
        <w:rPr>
          <w:b/>
        </w:rPr>
        <w:t xml:space="preserve"> à l</w:t>
      </w:r>
      <w:r w:rsidR="007074E2">
        <w:rPr>
          <w:b/>
        </w:rPr>
        <w:t>’</w:t>
      </w:r>
      <w:r w:rsidR="001D4522" w:rsidRPr="009447EE">
        <w:rPr>
          <w:b/>
        </w:rPr>
        <w:t xml:space="preserve">investissement relatif au </w:t>
      </w:r>
      <w:r w:rsidR="00183CCD" w:rsidRPr="009447EE">
        <w:rPr>
          <w:b/>
        </w:rPr>
        <w:t>matériel</w:t>
      </w:r>
      <w:r w:rsidR="001D4522" w:rsidRPr="009447EE">
        <w:rPr>
          <w:b/>
        </w:rPr>
        <w:t xml:space="preserve"> de fabrication et de transformation</w:t>
      </w:r>
    </w:p>
    <w:p w:rsidR="00A70C39" w:rsidRDefault="00A70C39" w:rsidP="00E53CEF"/>
    <w:p w:rsidR="00257E8F" w:rsidRDefault="00407034" w:rsidP="00E53CEF">
      <w:r>
        <w:t>Des modifications seront apportées à la législation de façon à réduire l</w:t>
      </w:r>
      <w:r w:rsidR="007074E2">
        <w:t>’</w:t>
      </w:r>
      <w:r>
        <w:t>aide fiscale relative à l</w:t>
      </w:r>
      <w:r w:rsidR="007074E2">
        <w:t>’</w:t>
      </w:r>
      <w:r>
        <w:t>octroi de crédits d</w:t>
      </w:r>
      <w:r w:rsidR="007074E2">
        <w:t>’</w:t>
      </w:r>
      <w:r>
        <w:t>impôt, concernant les dépenses de R&amp;D ainsi que le crédit d</w:t>
      </w:r>
      <w:r w:rsidR="007074E2">
        <w:t>’</w:t>
      </w:r>
      <w:r>
        <w:t>impôt à l</w:t>
      </w:r>
      <w:r w:rsidR="007074E2">
        <w:t>’</w:t>
      </w:r>
      <w:r>
        <w:t>investissement relatif au matériel de fabrication et transformation</w:t>
      </w:r>
      <w:r w:rsidR="00D2271F">
        <w:t xml:space="preserve"> (F</w:t>
      </w:r>
      <w:r w:rsidR="007074E2">
        <w:t xml:space="preserve"> </w:t>
      </w:r>
      <w:r w:rsidR="00D2271F">
        <w:t>&amp;</w:t>
      </w:r>
      <w:r w:rsidR="007074E2">
        <w:t xml:space="preserve"> </w:t>
      </w:r>
      <w:r w:rsidR="00D2271F">
        <w:t>T).</w:t>
      </w:r>
    </w:p>
    <w:p w:rsidR="00D2271F" w:rsidRDefault="00D2271F" w:rsidP="00E53CEF"/>
    <w:p w:rsidR="00D2271F" w:rsidRDefault="00C900A2" w:rsidP="00E53CEF">
      <w:r>
        <w:t>À</w:t>
      </w:r>
      <w:r w:rsidR="00D2271F">
        <w:t xml:space="preserve"> compter du 3 </w:t>
      </w:r>
      <w:r w:rsidR="00A14802">
        <w:t>décembre</w:t>
      </w:r>
      <w:r w:rsidR="00D2271F">
        <w:t xml:space="preserve"> 2014, les entreprises ne pourront </w:t>
      </w:r>
      <w:r w:rsidR="00A14802">
        <w:t>bénéficier</w:t>
      </w:r>
      <w:r w:rsidR="00D2271F">
        <w:t xml:space="preserve"> de ces </w:t>
      </w:r>
      <w:r w:rsidR="00A14802">
        <w:t>crédits</w:t>
      </w:r>
      <w:r w:rsidR="00D2271F">
        <w:t xml:space="preserve"> d</w:t>
      </w:r>
      <w:r w:rsidR="007074E2">
        <w:t>’</w:t>
      </w:r>
      <w:r w:rsidR="00A14802">
        <w:t>impôt</w:t>
      </w:r>
      <w:r w:rsidR="00D2271F">
        <w:t xml:space="preserve"> que sur les </w:t>
      </w:r>
      <w:r w:rsidR="00A14802">
        <w:t>dépenses</w:t>
      </w:r>
      <w:r w:rsidR="00D2271F">
        <w:t xml:space="preserve"> admissibles </w:t>
      </w:r>
      <w:r w:rsidR="00A14802">
        <w:t>excédent</w:t>
      </w:r>
      <w:r w:rsidR="00D2271F">
        <w:t xml:space="preserve"> un certain seuil. </w:t>
      </w:r>
    </w:p>
    <w:p w:rsidR="009447EE" w:rsidRDefault="009447EE" w:rsidP="00E53CEF"/>
    <w:p w:rsidR="002363F7" w:rsidRPr="009447EE" w:rsidRDefault="00E53CEF" w:rsidP="00E53CEF">
      <w:r w:rsidRPr="00E53CEF">
        <w:rPr>
          <w:b/>
        </w:rPr>
        <w:t xml:space="preserve"> </w:t>
      </w:r>
      <w:r w:rsidR="002363F7" w:rsidRPr="009447EE">
        <w:t>Uniformisation des taux applicables aux cr</w:t>
      </w:r>
      <w:r w:rsidR="007100A9" w:rsidRPr="009447EE">
        <w:t>éd</w:t>
      </w:r>
      <w:r w:rsidR="002363F7" w:rsidRPr="009447EE">
        <w:t>its d</w:t>
      </w:r>
      <w:r w:rsidR="007074E2">
        <w:t>’</w:t>
      </w:r>
      <w:r w:rsidR="007100A9" w:rsidRPr="009447EE">
        <w:t>impôt</w:t>
      </w:r>
      <w:r w:rsidR="002363F7" w:rsidRPr="009447EE">
        <w:t xml:space="preserve"> pour la R&amp;D</w:t>
      </w:r>
    </w:p>
    <w:p w:rsidR="00F8683E" w:rsidRPr="009447EE" w:rsidRDefault="00F8683E" w:rsidP="00E53CEF"/>
    <w:p w:rsidR="00F8683E" w:rsidRPr="00A929E2" w:rsidRDefault="007F0569" w:rsidP="00E53CEF">
      <w:r w:rsidRPr="00A929E2">
        <w:t>La loi permet de bénéficier de différents crédits selon la nature des activités de recherche. La loi sera donc modifiée afin d</w:t>
      </w:r>
      <w:r w:rsidR="007074E2">
        <w:t>’</w:t>
      </w:r>
      <w:r w:rsidRPr="00A929E2">
        <w:t>uniformiser les taux relatifs aux différentes activités. Ainsi les crédits pour les activités spécifique</w:t>
      </w:r>
      <w:r w:rsidR="00692F80" w:rsidRPr="00A929E2">
        <w:t>s</w:t>
      </w:r>
      <w:r w:rsidRPr="00A929E2">
        <w:t xml:space="preserve"> suivant</w:t>
      </w:r>
      <w:r w:rsidR="007074E2">
        <w:t>e</w:t>
      </w:r>
      <w:r w:rsidRPr="00A929E2">
        <w:t>s</w:t>
      </w:r>
      <w:r w:rsidR="007074E2">
        <w:t> </w:t>
      </w:r>
      <w:r w:rsidRPr="00A929E2">
        <w:t xml:space="preserve">: </w:t>
      </w:r>
    </w:p>
    <w:p w:rsidR="007F0569" w:rsidRPr="00A929E2" w:rsidRDefault="007F0569" w:rsidP="00E53CEF"/>
    <w:p w:rsidR="007F0569" w:rsidRPr="00A929E2" w:rsidRDefault="007F0569" w:rsidP="00D71238">
      <w:pPr>
        <w:pStyle w:val="Paragraphedeliste"/>
        <w:numPr>
          <w:ilvl w:val="0"/>
          <w:numId w:val="38"/>
        </w:numPr>
      </w:pPr>
      <w:r w:rsidRPr="00A929E2">
        <w:t>le crédit d</w:t>
      </w:r>
      <w:r w:rsidR="007074E2">
        <w:t>’</w:t>
      </w:r>
      <w:r w:rsidRPr="00A929E2">
        <w:t>impôt remboursable pour un contrat de recherche conclu avec une université admissible</w:t>
      </w:r>
      <w:r w:rsidR="00EF2F93" w:rsidRPr="00A929E2">
        <w:t>,</w:t>
      </w:r>
      <w:r w:rsidRPr="00A929E2">
        <w:t xml:space="preserve"> un centre de recherche public admissible ou un consortium de recherche admissible;</w:t>
      </w:r>
    </w:p>
    <w:p w:rsidR="007F0569" w:rsidRPr="00A929E2" w:rsidRDefault="007F0569" w:rsidP="00E53CEF"/>
    <w:p w:rsidR="002363F7" w:rsidRPr="00A929E2" w:rsidRDefault="007F0569" w:rsidP="00D71238">
      <w:pPr>
        <w:pStyle w:val="Paragraphedeliste"/>
        <w:numPr>
          <w:ilvl w:val="0"/>
          <w:numId w:val="38"/>
        </w:numPr>
      </w:pPr>
      <w:r w:rsidRPr="00A929E2">
        <w:t>le crédit d</w:t>
      </w:r>
      <w:r w:rsidR="007074E2">
        <w:t>’</w:t>
      </w:r>
      <w:r w:rsidRPr="00A929E2">
        <w:t xml:space="preserve">impôt remboursable pour la recherche </w:t>
      </w:r>
      <w:r w:rsidR="00EF2F93" w:rsidRPr="00A929E2">
        <w:t>précompétitive</w:t>
      </w:r>
      <w:r w:rsidRPr="00A929E2">
        <w:t xml:space="preserve"> en partenariat priv</w:t>
      </w:r>
      <w:r w:rsidR="00692F80" w:rsidRPr="00A929E2">
        <w:t>é</w:t>
      </w:r>
      <w:r w:rsidRPr="00A929E2">
        <w:t xml:space="preserve"> et</w:t>
      </w:r>
    </w:p>
    <w:p w:rsidR="007F0569" w:rsidRPr="00A929E2" w:rsidRDefault="007F0569" w:rsidP="00E53CEF"/>
    <w:p w:rsidR="007F0569" w:rsidRPr="00A929E2" w:rsidRDefault="007F0569" w:rsidP="00D71238">
      <w:pPr>
        <w:pStyle w:val="Paragraphedeliste"/>
        <w:numPr>
          <w:ilvl w:val="0"/>
          <w:numId w:val="38"/>
        </w:numPr>
      </w:pPr>
      <w:r w:rsidRPr="00A929E2">
        <w:t>le crédit d</w:t>
      </w:r>
      <w:r w:rsidR="007074E2">
        <w:t>’</w:t>
      </w:r>
      <w:r w:rsidRPr="00A929E2">
        <w:t>impôt remboursable pour l</w:t>
      </w:r>
      <w:r w:rsidR="00501FF4" w:rsidRPr="00A929E2">
        <w:t>e</w:t>
      </w:r>
      <w:r w:rsidR="00C900A2">
        <w:t>s co</w:t>
      </w:r>
      <w:r w:rsidR="00501FF4" w:rsidRPr="00A929E2">
        <w:t xml:space="preserve">tisations </w:t>
      </w:r>
      <w:r w:rsidR="00EF2F93" w:rsidRPr="00A929E2">
        <w:t>versées</w:t>
      </w:r>
      <w:r w:rsidR="00501FF4" w:rsidRPr="00A929E2">
        <w:t xml:space="preserve"> à un consortium de</w:t>
      </w:r>
      <w:r w:rsidRPr="00A929E2">
        <w:t xml:space="preserve"> recherche</w:t>
      </w:r>
    </w:p>
    <w:p w:rsidR="007F0569" w:rsidRPr="00A929E2" w:rsidRDefault="007F0569" w:rsidP="00E53CEF"/>
    <w:p w:rsidR="002363F7" w:rsidRPr="00A929E2" w:rsidRDefault="00692F80" w:rsidP="00E53CEF">
      <w:r w:rsidRPr="00A929E2">
        <w:t xml:space="preserve">seront assujettis </w:t>
      </w:r>
      <w:r w:rsidR="006852EE" w:rsidRPr="00A929E2">
        <w:t>aux taux applicables au cr</w:t>
      </w:r>
      <w:r w:rsidR="009447EE">
        <w:t>é</w:t>
      </w:r>
      <w:r w:rsidR="006852EE" w:rsidRPr="00A929E2">
        <w:t>dit d</w:t>
      </w:r>
      <w:r w:rsidR="007074E2">
        <w:t>’</w:t>
      </w:r>
      <w:r w:rsidR="009447EE" w:rsidRPr="00A929E2">
        <w:t>impôt</w:t>
      </w:r>
      <w:r w:rsidR="006852EE" w:rsidRPr="00A929E2">
        <w:t xml:space="preserve"> remboursable pour les salaires vers</w:t>
      </w:r>
      <w:r w:rsidR="009447EE">
        <w:t>é</w:t>
      </w:r>
      <w:r w:rsidR="006852EE" w:rsidRPr="00A929E2">
        <w:t xml:space="preserve">s à des </w:t>
      </w:r>
      <w:r w:rsidR="009447EE" w:rsidRPr="00A929E2">
        <w:t>employés</w:t>
      </w:r>
      <w:r w:rsidR="006852EE" w:rsidRPr="00A929E2">
        <w:t xml:space="preserve"> qui effectuent des travaux de R&amp;D au </w:t>
      </w:r>
      <w:r w:rsidR="009447EE" w:rsidRPr="00A929E2">
        <w:t>Québec</w:t>
      </w:r>
      <w:r w:rsidR="006852EE" w:rsidRPr="00A929E2">
        <w:t xml:space="preserve"> ou à des sous-traitants sans lien de </w:t>
      </w:r>
      <w:r w:rsidR="009447EE" w:rsidRPr="00A929E2">
        <w:t>dépendance</w:t>
      </w:r>
      <w:r w:rsidR="006852EE" w:rsidRPr="00A929E2">
        <w:t xml:space="preserve">. Ainsi à compter du 3 </w:t>
      </w:r>
      <w:r w:rsidR="009447EE" w:rsidRPr="00A929E2">
        <w:t>décembre</w:t>
      </w:r>
      <w:r w:rsidR="006852EE" w:rsidRPr="00A929E2">
        <w:t xml:space="preserve"> les taux passeront de 28</w:t>
      </w:r>
      <w:r w:rsidR="007074E2">
        <w:t> </w:t>
      </w:r>
      <w:r w:rsidR="006852EE" w:rsidRPr="00A929E2">
        <w:t>% à 14</w:t>
      </w:r>
      <w:r w:rsidR="007074E2">
        <w:t> </w:t>
      </w:r>
      <w:r w:rsidR="006852EE" w:rsidRPr="00A929E2">
        <w:t>%</w:t>
      </w:r>
      <w:r w:rsidR="00D217D2" w:rsidRPr="00A929E2">
        <w:t>.</w:t>
      </w:r>
      <w:r w:rsidR="007074E2">
        <w:t xml:space="preserve"> </w:t>
      </w:r>
      <w:r w:rsidR="006852EE" w:rsidRPr="00A929E2">
        <w:t xml:space="preserve">Toutefois pour certaines </w:t>
      </w:r>
      <w:r w:rsidR="009447EE" w:rsidRPr="00A929E2">
        <w:t>sociétés</w:t>
      </w:r>
      <w:r w:rsidR="006852EE" w:rsidRPr="00A929E2">
        <w:t xml:space="preserve"> sous </w:t>
      </w:r>
      <w:r w:rsidR="009447EE" w:rsidRPr="00A929E2">
        <w:t>contrôle</w:t>
      </w:r>
      <w:r w:rsidR="006852EE" w:rsidRPr="00A929E2">
        <w:t xml:space="preserve"> canadien </w:t>
      </w:r>
      <w:r w:rsidR="00D217D2" w:rsidRPr="00A929E2">
        <w:t>(les PME par exemple)</w:t>
      </w:r>
      <w:r w:rsidR="006852EE" w:rsidRPr="00A929E2">
        <w:t>, le taux sera bonifié de 28</w:t>
      </w:r>
      <w:r w:rsidR="007074E2">
        <w:t> </w:t>
      </w:r>
      <w:r w:rsidR="006852EE" w:rsidRPr="00A929E2">
        <w:t>% à 30</w:t>
      </w:r>
      <w:r w:rsidR="007074E2">
        <w:t> </w:t>
      </w:r>
      <w:r w:rsidR="006852EE" w:rsidRPr="00A929E2">
        <w:t xml:space="preserve">% </w:t>
      </w:r>
    </w:p>
    <w:p w:rsidR="00C900A2" w:rsidRDefault="00C900A2" w:rsidP="00E53CEF">
      <w:r>
        <w:br w:type="page"/>
      </w:r>
    </w:p>
    <w:p w:rsidR="007D327B" w:rsidRPr="007D327B" w:rsidRDefault="00D2271F" w:rsidP="00E53CEF">
      <w:r w:rsidRPr="007D327B">
        <w:lastRenderedPageBreak/>
        <w:t>Seuils applicables aux crédits d</w:t>
      </w:r>
      <w:r w:rsidR="007074E2">
        <w:t>’</w:t>
      </w:r>
      <w:r w:rsidR="00A14802" w:rsidRPr="007D327B">
        <w:t>impôt</w:t>
      </w:r>
      <w:r w:rsidRPr="007D327B">
        <w:t xml:space="preserve"> à la R&amp;D</w:t>
      </w:r>
    </w:p>
    <w:p w:rsidR="004C0AA3" w:rsidRDefault="004C0AA3" w:rsidP="00E53CEF"/>
    <w:p w:rsidR="00D2271F" w:rsidRDefault="004C0AA3" w:rsidP="00E53CEF">
      <w:r w:rsidRPr="004C0AA3">
        <w:t>Pour les</w:t>
      </w:r>
      <w:r>
        <w:t xml:space="preserve"> crédits d</w:t>
      </w:r>
      <w:r w:rsidR="007074E2">
        <w:t>’</w:t>
      </w:r>
      <w:r>
        <w:t xml:space="preserve">impôt </w:t>
      </w:r>
      <w:r w:rsidRPr="004C0AA3">
        <w:t>à la R&amp;D</w:t>
      </w:r>
      <w:r w:rsidR="00A14802">
        <w:t>, les seuils de dépenses minimales seront</w:t>
      </w:r>
      <w:r w:rsidR="007074E2">
        <w:t> </w:t>
      </w:r>
      <w:r w:rsidR="00A14802">
        <w:t xml:space="preserve">: </w:t>
      </w:r>
    </w:p>
    <w:p w:rsidR="00A14802" w:rsidRDefault="00A14802" w:rsidP="00E53CEF"/>
    <w:p w:rsidR="00A14802" w:rsidRDefault="00A14802" w:rsidP="00D71238">
      <w:pPr>
        <w:pStyle w:val="Paragraphedeliste"/>
        <w:numPr>
          <w:ilvl w:val="0"/>
          <w:numId w:val="39"/>
        </w:numPr>
      </w:pPr>
      <w:r>
        <w:t>de 50</w:t>
      </w:r>
      <w:r w:rsidR="007074E2">
        <w:t> 000 </w:t>
      </w:r>
      <w:r>
        <w:t>$ pour les sociétés dont l</w:t>
      </w:r>
      <w:r w:rsidR="007074E2">
        <w:t>’</w:t>
      </w:r>
      <w:r>
        <w:t>actif est inf</w:t>
      </w:r>
      <w:r w:rsidR="00DC6FB5">
        <w:t>é</w:t>
      </w:r>
      <w:r>
        <w:t>rieur ou égal à 50 millions de dollars;</w:t>
      </w:r>
    </w:p>
    <w:p w:rsidR="00DC6FB5" w:rsidRDefault="00DC6FB5" w:rsidP="00E53CEF"/>
    <w:p w:rsidR="00A14802" w:rsidRDefault="00A14802" w:rsidP="00D71238">
      <w:pPr>
        <w:pStyle w:val="Paragraphedeliste"/>
        <w:numPr>
          <w:ilvl w:val="0"/>
          <w:numId w:val="39"/>
        </w:numPr>
      </w:pPr>
      <w:r>
        <w:t>de 225</w:t>
      </w:r>
      <w:r w:rsidR="007074E2">
        <w:t> 000 </w:t>
      </w:r>
      <w:r>
        <w:t>$ pour les sociétés dont l</w:t>
      </w:r>
      <w:r w:rsidR="007074E2">
        <w:t>’</w:t>
      </w:r>
      <w:r>
        <w:t>actif est de 75 millions de dollars et plus;</w:t>
      </w:r>
    </w:p>
    <w:p w:rsidR="00DC6FB5" w:rsidRDefault="00DC6FB5" w:rsidP="00E53CEF"/>
    <w:p w:rsidR="00A14802" w:rsidRDefault="00A14802" w:rsidP="00D71238">
      <w:pPr>
        <w:pStyle w:val="Paragraphedeliste"/>
        <w:numPr>
          <w:ilvl w:val="0"/>
          <w:numId w:val="39"/>
        </w:numPr>
      </w:pPr>
      <w:r>
        <w:t>d</w:t>
      </w:r>
      <w:r w:rsidR="007074E2">
        <w:t>’</w:t>
      </w:r>
      <w:r>
        <w:t>un montant qui progresse de façon linéaire entre 50</w:t>
      </w:r>
      <w:r w:rsidR="007074E2">
        <w:t> 000 </w:t>
      </w:r>
      <w:r>
        <w:t>$ et 225</w:t>
      </w:r>
      <w:r w:rsidR="007074E2">
        <w:t> 000 </w:t>
      </w:r>
      <w:r w:rsidR="00D71238">
        <w:t>$ pour les sociétés</w:t>
      </w:r>
      <w:r>
        <w:t xml:space="preserve"> dont l</w:t>
      </w:r>
      <w:r w:rsidR="007074E2">
        <w:t>’</w:t>
      </w:r>
      <w:r>
        <w:t>actif se situe entre 50</w:t>
      </w:r>
      <w:r w:rsidR="007074E2">
        <w:t> </w:t>
      </w:r>
      <w:r>
        <w:t>$ et 75</w:t>
      </w:r>
      <w:r w:rsidR="007074E2">
        <w:t> </w:t>
      </w:r>
      <w:r>
        <w:t>$ millions de dollars.</w:t>
      </w:r>
    </w:p>
    <w:p w:rsidR="00D2271F" w:rsidRDefault="00D2271F" w:rsidP="00E53CEF"/>
    <w:p w:rsidR="00D2271F" w:rsidRDefault="002363F7" w:rsidP="00E53CEF">
      <w:r w:rsidRPr="009D6BAC">
        <w:t>Seuil applicable au crédit d</w:t>
      </w:r>
      <w:r w:rsidR="007074E2">
        <w:t>’</w:t>
      </w:r>
      <w:r w:rsidRPr="009D6BAC">
        <w:t>impôt à l</w:t>
      </w:r>
      <w:r w:rsidR="007074E2">
        <w:t>’</w:t>
      </w:r>
      <w:r w:rsidRPr="009D6BAC">
        <w:t>investissement relatif au matériel de F</w:t>
      </w:r>
      <w:r w:rsidR="007074E2">
        <w:t xml:space="preserve"> </w:t>
      </w:r>
      <w:r w:rsidRPr="009D6BAC">
        <w:t>&amp;</w:t>
      </w:r>
      <w:r w:rsidR="007074E2">
        <w:t xml:space="preserve"> </w:t>
      </w:r>
      <w:r w:rsidRPr="009D6BAC">
        <w:t>T</w:t>
      </w:r>
    </w:p>
    <w:p w:rsidR="009447EE" w:rsidRPr="009D6BAC" w:rsidRDefault="009447EE" w:rsidP="00E53CEF"/>
    <w:p w:rsidR="00D2271F" w:rsidRPr="00A929E2" w:rsidRDefault="002363F7" w:rsidP="00E53CEF">
      <w:r w:rsidRPr="00A929E2">
        <w:t>Pour le crédit d</w:t>
      </w:r>
      <w:r w:rsidR="007074E2">
        <w:t>’</w:t>
      </w:r>
      <w:r w:rsidRPr="00A929E2">
        <w:t>impôt à l</w:t>
      </w:r>
      <w:r w:rsidR="007074E2">
        <w:t>’</w:t>
      </w:r>
      <w:r w:rsidRPr="00A929E2">
        <w:t>investissement relatif au matériel de F</w:t>
      </w:r>
      <w:r w:rsidR="007074E2">
        <w:t xml:space="preserve"> </w:t>
      </w:r>
      <w:r w:rsidRPr="00A929E2">
        <w:t>&amp;</w:t>
      </w:r>
      <w:r w:rsidR="007074E2">
        <w:t xml:space="preserve"> </w:t>
      </w:r>
      <w:r w:rsidRPr="00A929E2">
        <w:t>T, le seuil sera de 12</w:t>
      </w:r>
      <w:r w:rsidR="007074E2">
        <w:t> 500 </w:t>
      </w:r>
      <w:r w:rsidRPr="00A929E2">
        <w:t>$ pou</w:t>
      </w:r>
      <w:r w:rsidR="00D71238">
        <w:t>r</w:t>
      </w:r>
      <w:r w:rsidRPr="00A929E2">
        <w:t xml:space="preserve"> l</w:t>
      </w:r>
      <w:r w:rsidR="007074E2">
        <w:t>’</w:t>
      </w:r>
      <w:r w:rsidRPr="00A929E2">
        <w:t>achat de mat</w:t>
      </w:r>
      <w:r w:rsidR="00592D97" w:rsidRPr="00A929E2">
        <w:t>é</w:t>
      </w:r>
      <w:r w:rsidRPr="00A929E2">
        <w:t xml:space="preserve">riel </w:t>
      </w:r>
      <w:r w:rsidR="00592D97" w:rsidRPr="00A929E2">
        <w:t>de fabrication et transformation admissible acquis après le 2 décembre 2014.</w:t>
      </w:r>
      <w:r w:rsidRPr="00A929E2">
        <w:t xml:space="preserve"> </w:t>
      </w:r>
    </w:p>
    <w:p w:rsidR="00D2271F" w:rsidRDefault="00D2271F" w:rsidP="00E53CEF"/>
    <w:p w:rsidR="00D663CE" w:rsidRDefault="00D663CE" w:rsidP="00E53CEF"/>
    <w:p w:rsidR="0018235C" w:rsidRDefault="0018235C" w:rsidP="00E53CEF">
      <w:pPr>
        <w:rPr>
          <w:b/>
        </w:rPr>
      </w:pPr>
      <w:r w:rsidRPr="00E53CEF">
        <w:rPr>
          <w:b/>
        </w:rPr>
        <w:t xml:space="preserve">3. Augmentation de la taxe sur le capital des </w:t>
      </w:r>
      <w:r w:rsidR="009447EE" w:rsidRPr="00E53CEF">
        <w:rPr>
          <w:b/>
        </w:rPr>
        <w:t>sociétés</w:t>
      </w:r>
      <w:r w:rsidRPr="00E53CEF">
        <w:rPr>
          <w:b/>
        </w:rPr>
        <w:t xml:space="preserve"> d</w:t>
      </w:r>
      <w:r w:rsidR="007074E2">
        <w:rPr>
          <w:b/>
        </w:rPr>
        <w:t>’</w:t>
      </w:r>
      <w:r w:rsidRPr="00E53CEF">
        <w:rPr>
          <w:b/>
        </w:rPr>
        <w:t>assurance</w:t>
      </w:r>
    </w:p>
    <w:p w:rsidR="0018235C" w:rsidRDefault="0018235C" w:rsidP="00E53CEF"/>
    <w:p w:rsidR="0018235C" w:rsidRDefault="0018235C" w:rsidP="00E53CEF">
      <w:r>
        <w:t xml:space="preserve">Une </w:t>
      </w:r>
      <w:r w:rsidR="009447EE">
        <w:t>société</w:t>
      </w:r>
      <w:r>
        <w:t xml:space="preserve"> d</w:t>
      </w:r>
      <w:r w:rsidR="007074E2">
        <w:t>’</w:t>
      </w:r>
      <w:r>
        <w:t xml:space="preserve">assurance qui exerce au </w:t>
      </w:r>
      <w:r w:rsidR="009447EE">
        <w:t>Québec</w:t>
      </w:r>
      <w:r>
        <w:t xml:space="preserve"> doit payer une taxe sur le capital sur toute prime qui lui est payable ou payable à son agent et qui se rapporte à une assuranc</w:t>
      </w:r>
      <w:r w:rsidR="00E53CEF">
        <w:t>e qui porte sur la vie, la santé</w:t>
      </w:r>
      <w:r>
        <w:t xml:space="preserve"> ou l</w:t>
      </w:r>
      <w:r w:rsidR="007074E2">
        <w:t>’</w:t>
      </w:r>
      <w:r>
        <w:t>int</w:t>
      </w:r>
      <w:r w:rsidR="00E53CEF">
        <w:t>é</w:t>
      </w:r>
      <w:r>
        <w:t>grité physique de l</w:t>
      </w:r>
      <w:r w:rsidR="007074E2">
        <w:t>’</w:t>
      </w:r>
      <w:r>
        <w:t xml:space="preserve">assuré </w:t>
      </w:r>
      <w:r w:rsidR="00D362A3">
        <w:t xml:space="preserve">ou que la </w:t>
      </w:r>
      <w:r w:rsidR="009447EE">
        <w:t>société</w:t>
      </w:r>
      <w:r w:rsidR="00D362A3">
        <w:t xml:space="preserve"> d</w:t>
      </w:r>
      <w:r w:rsidR="007074E2">
        <w:t>’</w:t>
      </w:r>
      <w:r w:rsidR="00D362A3">
        <w:t>assurance doit payer sur la prime taxable qui lui est vers</w:t>
      </w:r>
      <w:r w:rsidR="00E53CEF">
        <w:t>é</w:t>
      </w:r>
      <w:r w:rsidR="00D362A3">
        <w:t xml:space="preserve">e ou </w:t>
      </w:r>
      <w:r w:rsidR="00E53CEF">
        <w:t xml:space="preserve">versée </w:t>
      </w:r>
      <w:r w:rsidR="00D362A3">
        <w:t>à son agent dans le cadre d</w:t>
      </w:r>
      <w:r w:rsidR="007074E2">
        <w:t>’</w:t>
      </w:r>
      <w:r w:rsidR="00E53CEF">
        <w:t xml:space="preserve">un </w:t>
      </w:r>
      <w:r w:rsidR="009447EE">
        <w:t>régime</w:t>
      </w:r>
      <w:r w:rsidR="00D362A3">
        <w:t xml:space="preserve"> d</w:t>
      </w:r>
      <w:r w:rsidR="007074E2">
        <w:t>’</w:t>
      </w:r>
      <w:r w:rsidR="00E53CEF">
        <w:t>avantages sociaux non assures (RASNA). Le taux sera augmenté à 3</w:t>
      </w:r>
      <w:r w:rsidR="007074E2">
        <w:t> </w:t>
      </w:r>
      <w:r w:rsidR="00E53CEF">
        <w:t>% (auparavant 2</w:t>
      </w:r>
      <w:r w:rsidR="007074E2">
        <w:t> </w:t>
      </w:r>
      <w:r w:rsidR="00E53CEF">
        <w:t>%).</w:t>
      </w:r>
    </w:p>
    <w:p w:rsidR="00E53CEF" w:rsidRDefault="00E53CEF" w:rsidP="00E53CEF"/>
    <w:p w:rsidR="0018235C" w:rsidRDefault="00E53CEF" w:rsidP="00E53CEF">
      <w:r>
        <w:t>Ce taux s</w:t>
      </w:r>
      <w:r w:rsidR="007074E2">
        <w:t>’</w:t>
      </w:r>
      <w:r>
        <w:t xml:space="preserve">appliquera </w:t>
      </w:r>
      <w:r w:rsidR="009447EE">
        <w:t>après</w:t>
      </w:r>
      <w:r>
        <w:t xml:space="preserve"> le 2 </w:t>
      </w:r>
      <w:r w:rsidR="009447EE">
        <w:t>décembre</w:t>
      </w:r>
      <w:r>
        <w:t xml:space="preserve"> 2014, à l</w:t>
      </w:r>
      <w:r w:rsidR="007074E2">
        <w:t>’</w:t>
      </w:r>
      <w:r w:rsidR="009447EE">
        <w:t>égard</w:t>
      </w:r>
      <w:r>
        <w:t xml:space="preserve"> d</w:t>
      </w:r>
      <w:r w:rsidR="007074E2">
        <w:t>’</w:t>
      </w:r>
      <w:r>
        <w:t xml:space="preserve">une </w:t>
      </w:r>
      <w:r w:rsidR="009447EE">
        <w:t>période</w:t>
      </w:r>
      <w:r>
        <w:t xml:space="preserve"> de douze mois ou d</w:t>
      </w:r>
      <w:r w:rsidR="007074E2">
        <w:t>’</w:t>
      </w:r>
      <w:r>
        <w:t xml:space="preserve">une </w:t>
      </w:r>
      <w:r w:rsidR="009447EE">
        <w:t>année</w:t>
      </w:r>
      <w:r>
        <w:t xml:space="preserve"> d</w:t>
      </w:r>
      <w:r w:rsidR="007074E2">
        <w:t>’</w:t>
      </w:r>
      <w:r>
        <w:t xml:space="preserve">imposition. Ainsi il sera </w:t>
      </w:r>
      <w:r w:rsidR="009447EE">
        <w:t>proraté</w:t>
      </w:r>
      <w:r>
        <w:t xml:space="preserve"> </w:t>
      </w:r>
      <w:r w:rsidR="009447EE">
        <w:t>proportionnellement</w:t>
      </w:r>
      <w:r>
        <w:t xml:space="preserve"> aux nombres de jours de cette </w:t>
      </w:r>
      <w:r w:rsidR="009447EE">
        <w:t>période</w:t>
      </w:r>
      <w:r>
        <w:t xml:space="preserve"> de douze mois ou de cette </w:t>
      </w:r>
      <w:r w:rsidR="009447EE">
        <w:t>année</w:t>
      </w:r>
      <w:r>
        <w:t xml:space="preserve"> d</w:t>
      </w:r>
      <w:r w:rsidR="007074E2">
        <w:t>’</w:t>
      </w:r>
      <w:r>
        <w:t xml:space="preserve">imposition qui chevauchera ce jour (2 </w:t>
      </w:r>
      <w:r w:rsidR="009447EE">
        <w:t>décembre</w:t>
      </w:r>
      <w:r>
        <w:t xml:space="preserve"> 2014)</w:t>
      </w:r>
      <w:r w:rsidR="00C1749D">
        <w:t>.</w:t>
      </w:r>
    </w:p>
    <w:p w:rsidR="0018235C" w:rsidRDefault="0018235C" w:rsidP="00E53CEF"/>
    <w:p w:rsidR="0018235C" w:rsidRPr="00D12305" w:rsidRDefault="0018235C" w:rsidP="00E53CEF"/>
    <w:p w:rsidR="00D2271F" w:rsidRPr="00E53CEF" w:rsidRDefault="0018235C" w:rsidP="00E53CEF">
      <w:pPr>
        <w:rPr>
          <w:b/>
        </w:rPr>
      </w:pPr>
      <w:r>
        <w:t xml:space="preserve"> </w:t>
      </w:r>
      <w:r w:rsidRPr="00E53CEF">
        <w:rPr>
          <w:b/>
        </w:rPr>
        <w:t>4</w:t>
      </w:r>
      <w:r w:rsidR="00D663CE" w:rsidRPr="00E53CEF">
        <w:rPr>
          <w:b/>
        </w:rPr>
        <w:t xml:space="preserve">. </w:t>
      </w:r>
      <w:r w:rsidR="007D5FF4" w:rsidRPr="00E53CEF">
        <w:rPr>
          <w:b/>
        </w:rPr>
        <w:t xml:space="preserve">Augmentation de la contribution temporaire relative à la taxe compensatoire des institutions </w:t>
      </w:r>
      <w:r w:rsidR="00EF2F93" w:rsidRPr="00E53CEF">
        <w:rPr>
          <w:b/>
        </w:rPr>
        <w:t>financières</w:t>
      </w:r>
    </w:p>
    <w:p w:rsidR="009D6BAC" w:rsidRDefault="009D6BAC" w:rsidP="00E53CEF"/>
    <w:p w:rsidR="009D6BAC" w:rsidRDefault="009D6BAC" w:rsidP="00E53CEF">
      <w:r w:rsidRPr="00A929E2">
        <w:t xml:space="preserve">Le 1er </w:t>
      </w:r>
      <w:r w:rsidR="00A929E2">
        <w:t xml:space="preserve">janvier 2013, la taxe compensatoire a </w:t>
      </w:r>
      <w:r w:rsidR="009447EE">
        <w:t>été</w:t>
      </w:r>
      <w:r w:rsidR="00A929E2">
        <w:t xml:space="preserve"> </w:t>
      </w:r>
      <w:r w:rsidR="009447EE">
        <w:t>éliminée</w:t>
      </w:r>
      <w:r w:rsidR="00A929E2">
        <w:t xml:space="preserve"> suite l</w:t>
      </w:r>
      <w:r w:rsidR="007074E2">
        <w:t>’</w:t>
      </w:r>
      <w:r w:rsidR="009447EE">
        <w:t>exonération</w:t>
      </w:r>
      <w:r w:rsidR="00A929E2">
        <w:t xml:space="preserve"> des services financiers dans le </w:t>
      </w:r>
      <w:r w:rsidR="009447EE">
        <w:t>régime</w:t>
      </w:r>
      <w:r w:rsidR="00A929E2">
        <w:t xml:space="preserve"> de la taxe de vente du </w:t>
      </w:r>
      <w:r w:rsidR="009447EE">
        <w:t>Québec</w:t>
      </w:r>
      <w:r w:rsidR="00A929E2">
        <w:t xml:space="preserve"> (TVQ). Cette taxe servait auparav</w:t>
      </w:r>
      <w:r w:rsidR="00C900A2">
        <w:t>ant à compenser l</w:t>
      </w:r>
      <w:r w:rsidR="007074E2">
        <w:t>’</w:t>
      </w:r>
      <w:r w:rsidR="00C900A2">
        <w:t>impact fiscal</w:t>
      </w:r>
      <w:r w:rsidR="00A929E2">
        <w:t xml:space="preserve"> du fait d</w:t>
      </w:r>
      <w:r w:rsidR="007074E2">
        <w:t>’</w:t>
      </w:r>
      <w:r w:rsidR="00A929E2">
        <w:t xml:space="preserve">accorder des remboursements sur les intrants aux fournisseurs de services financiers. </w:t>
      </w:r>
      <w:r w:rsidR="009447EE">
        <w:t>Même</w:t>
      </w:r>
      <w:r w:rsidR="00357A63">
        <w:t xml:space="preserve"> s</w:t>
      </w:r>
      <w:r w:rsidR="007074E2">
        <w:t>’</w:t>
      </w:r>
      <w:r w:rsidR="00357A63">
        <w:t>il n</w:t>
      </w:r>
      <w:r w:rsidR="007074E2">
        <w:t>’</w:t>
      </w:r>
      <w:r w:rsidR="00357A63">
        <w:t xml:space="preserve">y a plus de taxe compensatoire pour les institutions </w:t>
      </w:r>
      <w:r w:rsidR="009447EE">
        <w:t>financières</w:t>
      </w:r>
      <w:r w:rsidR="00357A63">
        <w:t xml:space="preserve"> sur leur capital versé, il existe une contribution temporaire depuis le 1er janvier 2013.</w:t>
      </w:r>
    </w:p>
    <w:p w:rsidR="00357A63" w:rsidRDefault="00357A63" w:rsidP="00E53CEF"/>
    <w:p w:rsidR="00357A63" w:rsidRPr="00A929E2" w:rsidRDefault="00357A63" w:rsidP="00E53CEF">
      <w:r>
        <w:t xml:space="preserve">Les taux de la contribution temporaire seront augmentés pour la </w:t>
      </w:r>
      <w:r w:rsidR="009447EE">
        <w:t>période</w:t>
      </w:r>
      <w:r>
        <w:t xml:space="preserve"> du 3 </w:t>
      </w:r>
      <w:r w:rsidR="009447EE">
        <w:t>décembre</w:t>
      </w:r>
      <w:r>
        <w:t xml:space="preserve"> 2014 au 31 mars 2017.</w:t>
      </w:r>
      <w:r w:rsidR="00C1749D">
        <w:t xml:space="preserve"> Voici un tableau résumant les taux par période.</w:t>
      </w:r>
    </w:p>
    <w:p w:rsidR="00C900A2" w:rsidRDefault="00C900A2" w:rsidP="00E53CEF">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178"/>
        <w:gridCol w:w="1177"/>
        <w:gridCol w:w="1040"/>
        <w:gridCol w:w="1945"/>
        <w:gridCol w:w="1944"/>
        <w:gridCol w:w="1945"/>
      </w:tblGrid>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Du</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Après le</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Du</w:t>
            </w: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1</w:t>
            </w:r>
            <w:r w:rsidRPr="00D71238">
              <w:rPr>
                <w:vertAlign w:val="superscript"/>
              </w:rPr>
              <w:t>er</w:t>
            </w:r>
            <w:r w:rsidRPr="00DB0CB7">
              <w:t xml:space="preserve"> janvier 2013</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 xml:space="preserve">2 </w:t>
            </w:r>
            <w:r w:rsidR="009447EE" w:rsidRPr="00DB0CB7">
              <w:t>décembre</w:t>
            </w:r>
            <w:r w:rsidR="00AE4595">
              <w:t xml:space="preserve"> 2014</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1</w:t>
            </w:r>
            <w:r w:rsidRPr="00D71238">
              <w:rPr>
                <w:vertAlign w:val="superscript"/>
              </w:rPr>
              <w:t>er</w:t>
            </w:r>
            <w:r w:rsidRPr="00DB0CB7">
              <w:t xml:space="preserve"> avril 2017</w:t>
            </w: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 xml:space="preserve">au 2 </w:t>
            </w:r>
            <w:r w:rsidR="009447EE" w:rsidRPr="00DB0CB7">
              <w:t>décembre</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et avant 1</w:t>
            </w:r>
            <w:r w:rsidR="007074E2">
              <w:t>er</w:t>
            </w:r>
            <w:r w:rsidRPr="00DB0CB7">
              <w:t xml:space="preserve"> avril</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au 31 mars</w:t>
            </w: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single" w:sz="4" w:space="0" w:color="auto"/>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2014</w:t>
            </w:r>
          </w:p>
        </w:tc>
        <w:tc>
          <w:tcPr>
            <w:tcW w:w="1984" w:type="dxa"/>
            <w:tcBorders>
              <w:top w:val="nil"/>
              <w:left w:val="nil"/>
              <w:bottom w:val="single" w:sz="4" w:space="0" w:color="auto"/>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2017</w:t>
            </w:r>
          </w:p>
        </w:tc>
        <w:tc>
          <w:tcPr>
            <w:tcW w:w="1985" w:type="dxa"/>
            <w:tcBorders>
              <w:top w:val="nil"/>
              <w:left w:val="nil"/>
              <w:bottom w:val="single" w:sz="4" w:space="0" w:color="auto"/>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2019</w:t>
            </w:r>
          </w:p>
        </w:tc>
      </w:tr>
      <w:tr w:rsidR="00DB0CB7" w:rsidRPr="00DB0CB7" w:rsidTr="00AE4595">
        <w:trPr>
          <w:trHeight w:val="285"/>
        </w:trPr>
        <w:tc>
          <w:tcPr>
            <w:tcW w:w="2400" w:type="dxa"/>
            <w:gridSpan w:val="2"/>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SALAIRES VERSES</w:t>
            </w: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Banque</w:t>
            </w:r>
            <w:r w:rsidR="007074E2">
              <w:t xml:space="preserve">, </w:t>
            </w:r>
            <w:r w:rsidRPr="00DB0CB7">
              <w:t>société de prêts, société</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2,80</w:t>
            </w:r>
            <w:r w:rsidR="007074E2">
              <w:t> </w:t>
            </w:r>
            <w:r w:rsidRPr="00DB0CB7">
              <w:t>%</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4,48</w:t>
            </w:r>
            <w:r w:rsidR="007074E2">
              <w:t> </w:t>
            </w:r>
            <w:r w:rsidRPr="00DB0CB7">
              <w:t>%</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2,80</w:t>
            </w:r>
            <w:r w:rsidR="007074E2">
              <w:t> </w:t>
            </w:r>
            <w:r w:rsidRPr="00DB0CB7">
              <w:t>%</w:t>
            </w: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 xml:space="preserve">de fiducie ou société faisant le </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commerce de valeurs mobilières</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Caisse d</w:t>
            </w:r>
            <w:r w:rsidR="007074E2">
              <w:t>’</w:t>
            </w:r>
            <w:r w:rsidRPr="00DB0CB7">
              <w:t>épargne et de crédit</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2,20</w:t>
            </w:r>
            <w:r w:rsidR="007074E2">
              <w:t> </w:t>
            </w:r>
            <w:r w:rsidRPr="00DB0CB7">
              <w:t>%</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3,52</w:t>
            </w:r>
            <w:r w:rsidR="007074E2">
              <w:t> </w:t>
            </w:r>
            <w:r w:rsidRPr="00DB0CB7">
              <w:t>%</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2,20</w:t>
            </w:r>
            <w:r w:rsidR="007074E2">
              <w:t> </w:t>
            </w:r>
            <w:r w:rsidRPr="00DB0CB7">
              <w:t>%</w:t>
            </w: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autres</w:t>
            </w: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0,90</w:t>
            </w:r>
            <w:r w:rsidR="007074E2">
              <w:t> </w:t>
            </w:r>
            <w:r w:rsidRPr="00DB0CB7">
              <w:t>%</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1,44</w:t>
            </w:r>
            <w:r w:rsidR="007074E2">
              <w:t> </w:t>
            </w:r>
            <w:r w:rsidRPr="00DB0CB7">
              <w:t>%</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0,90</w:t>
            </w:r>
            <w:r w:rsidR="007074E2">
              <w:t> </w:t>
            </w:r>
            <w:r w:rsidRPr="00DB0CB7">
              <w:t>%</w:t>
            </w:r>
          </w:p>
        </w:tc>
      </w:tr>
      <w:tr w:rsidR="00DB0CB7" w:rsidRPr="00DB0CB7" w:rsidTr="00AE4595">
        <w:trPr>
          <w:trHeight w:val="285"/>
        </w:trPr>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20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Primes d</w:t>
            </w:r>
            <w:r w:rsidR="007074E2">
              <w:t>’</w:t>
            </w:r>
            <w:r w:rsidRPr="00DB0CB7">
              <w:t>assurance et sommes</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0,30</w:t>
            </w:r>
            <w:r w:rsidR="007074E2">
              <w:t> </w:t>
            </w:r>
            <w:r w:rsidRPr="00DB0CB7">
              <w:t>%</w:t>
            </w: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48,00</w:t>
            </w:r>
            <w:r w:rsidR="007074E2">
              <w:t> </w:t>
            </w:r>
            <w:r w:rsidRPr="00DB0CB7">
              <w:t>%</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r w:rsidRPr="00DB0CB7">
              <w:t>0,30</w:t>
            </w:r>
            <w:r w:rsidR="007074E2">
              <w:t> </w:t>
            </w:r>
            <w:r w:rsidRPr="00DB0CB7">
              <w:t>%</w:t>
            </w:r>
          </w:p>
        </w:tc>
      </w:tr>
      <w:tr w:rsidR="00DB0CB7" w:rsidRPr="00DB0CB7" w:rsidTr="00AE4595">
        <w:trPr>
          <w:trHeight w:val="285"/>
        </w:trPr>
        <w:tc>
          <w:tcPr>
            <w:tcW w:w="3460" w:type="dxa"/>
            <w:gridSpan w:val="3"/>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établies à l</w:t>
            </w:r>
            <w:r w:rsidR="007074E2">
              <w:t>’</w:t>
            </w:r>
            <w:r w:rsidRPr="00DB0CB7">
              <w:t>égard d</w:t>
            </w:r>
            <w:r w:rsidR="007074E2">
              <w:t>’</w:t>
            </w:r>
            <w:r w:rsidRPr="00DB0CB7">
              <w:t xml:space="preserve">un fonds </w:t>
            </w: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r w:rsidR="00DB0CB7" w:rsidRPr="00DB0CB7" w:rsidTr="00AE4595">
        <w:trPr>
          <w:trHeight w:val="285"/>
        </w:trPr>
        <w:tc>
          <w:tcPr>
            <w:tcW w:w="2400" w:type="dxa"/>
            <w:gridSpan w:val="2"/>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r w:rsidRPr="00DB0CB7">
              <w:t>d</w:t>
            </w:r>
            <w:r w:rsidR="007074E2">
              <w:t>’</w:t>
            </w:r>
            <w:r w:rsidRPr="00DB0CB7">
              <w:t>assurance</w:t>
            </w:r>
          </w:p>
        </w:tc>
        <w:tc>
          <w:tcPr>
            <w:tcW w:w="1060" w:type="dxa"/>
            <w:tcBorders>
              <w:top w:val="nil"/>
              <w:left w:val="nil"/>
              <w:bottom w:val="nil"/>
              <w:right w:val="nil"/>
            </w:tcBorders>
            <w:shd w:val="clear" w:color="auto" w:fill="auto"/>
            <w:noWrap/>
            <w:vAlign w:val="bottom"/>
            <w:hideMark/>
          </w:tcPr>
          <w:p w:rsidR="00DB0CB7" w:rsidRPr="00DB0CB7" w:rsidRDefault="00DB0CB7" w:rsidP="00DB0CB7">
            <w:pPr>
              <w:overflowPunct/>
              <w:autoSpaceDE/>
              <w:autoSpaceDN/>
              <w:adjustRightInd/>
              <w:jc w:val="left"/>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4"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c>
          <w:tcPr>
            <w:tcW w:w="1985" w:type="dxa"/>
            <w:tcBorders>
              <w:top w:val="nil"/>
              <w:left w:val="nil"/>
              <w:bottom w:val="nil"/>
              <w:right w:val="nil"/>
            </w:tcBorders>
            <w:shd w:val="clear" w:color="auto" w:fill="auto"/>
            <w:noWrap/>
            <w:vAlign w:val="bottom"/>
            <w:hideMark/>
          </w:tcPr>
          <w:p w:rsidR="00DB0CB7" w:rsidRPr="00DB0CB7" w:rsidRDefault="00DB0CB7" w:rsidP="00D71238">
            <w:pPr>
              <w:overflowPunct/>
              <w:autoSpaceDE/>
              <w:autoSpaceDN/>
              <w:adjustRightInd/>
              <w:jc w:val="center"/>
              <w:textAlignment w:val="auto"/>
            </w:pPr>
          </w:p>
        </w:tc>
      </w:tr>
    </w:tbl>
    <w:p w:rsidR="00D2271F" w:rsidRDefault="00D2271F" w:rsidP="00E53CEF"/>
    <w:p w:rsidR="00AE4595" w:rsidRDefault="00AE4595" w:rsidP="00E53CEF">
      <w:r>
        <w:br w:type="page"/>
      </w:r>
    </w:p>
    <w:p w:rsidR="005149F5" w:rsidRPr="00552357" w:rsidRDefault="005149F5" w:rsidP="00C900A2">
      <w:pPr>
        <w:pStyle w:val="Titre1"/>
      </w:pPr>
      <w:r w:rsidRPr="00552357">
        <w:t>SECTION 2 – TPS – TVQ</w:t>
      </w:r>
    </w:p>
    <w:p w:rsidR="005149F5" w:rsidRPr="005149F5" w:rsidRDefault="005149F5" w:rsidP="00E53CEF"/>
    <w:p w:rsidR="00C900A2" w:rsidRDefault="00C900A2" w:rsidP="00D71238">
      <w:pPr>
        <w:rPr>
          <w:b/>
          <w:color w:val="auto"/>
        </w:rPr>
      </w:pPr>
      <w:r w:rsidRPr="00C900A2">
        <w:rPr>
          <w:b/>
          <w:color w:val="auto"/>
        </w:rPr>
        <w:t>Informations importantes pour vos clients faisant partie d’un groupe de sociétés étroitement liées</w:t>
      </w:r>
    </w:p>
    <w:p w:rsidR="00C900A2" w:rsidRPr="00C900A2" w:rsidRDefault="00C900A2" w:rsidP="00D71238">
      <w:pPr>
        <w:rPr>
          <w:b/>
          <w:color w:val="auto"/>
        </w:rPr>
      </w:pPr>
    </w:p>
    <w:p w:rsidR="00C900A2" w:rsidRDefault="00C900A2" w:rsidP="00D71238">
      <w:pPr>
        <w:rPr>
          <w:color w:val="auto"/>
        </w:rPr>
      </w:pPr>
      <w:r w:rsidRPr="00C900A2">
        <w:rPr>
          <w:color w:val="auto"/>
        </w:rPr>
        <w:t>Les membres d’un groupe de sociétés étroitement liées peuvent effectuer le choix de considérer sans contrepartie certaines fournitures taxables (choix de l’article</w:t>
      </w:r>
      <w:r w:rsidR="007074E2">
        <w:rPr>
          <w:color w:val="auto"/>
        </w:rPr>
        <w:t> </w:t>
      </w:r>
      <w:r w:rsidRPr="00C900A2">
        <w:rPr>
          <w:color w:val="auto"/>
        </w:rPr>
        <w:t xml:space="preserve">156 de la </w:t>
      </w:r>
      <w:r w:rsidRPr="00C900A2">
        <w:rPr>
          <w:i/>
          <w:color w:val="auto"/>
        </w:rPr>
        <w:t>Loi sur la taxe d’accise</w:t>
      </w:r>
      <w:r w:rsidRPr="00C900A2">
        <w:rPr>
          <w:color w:val="auto"/>
        </w:rPr>
        <w:t xml:space="preserve">) en </w:t>
      </w:r>
      <w:r w:rsidR="007074E2">
        <w:rPr>
          <w:color w:val="auto"/>
        </w:rPr>
        <w:t>rempliss</w:t>
      </w:r>
      <w:r w:rsidRPr="00C900A2">
        <w:rPr>
          <w:color w:val="auto"/>
        </w:rPr>
        <w:t>ant le formulaire prescrit à cet effet. Jusqu’au 31 décembre 2014, le formulaire</w:t>
      </w:r>
      <w:r w:rsidR="007074E2">
        <w:rPr>
          <w:color w:val="auto"/>
        </w:rPr>
        <w:t> </w:t>
      </w:r>
      <w:r w:rsidRPr="00C900A2">
        <w:rPr>
          <w:color w:val="auto"/>
        </w:rPr>
        <w:t xml:space="preserve">FP-2025 devrait être </w:t>
      </w:r>
      <w:r w:rsidR="007074E2">
        <w:rPr>
          <w:color w:val="auto"/>
        </w:rPr>
        <w:t>rempli</w:t>
      </w:r>
      <w:r w:rsidRPr="00C900A2">
        <w:rPr>
          <w:color w:val="auto"/>
        </w:rPr>
        <w:t xml:space="preserve"> et conservé dans les registres des clients.</w:t>
      </w:r>
    </w:p>
    <w:p w:rsidR="00C900A2" w:rsidRPr="00C900A2" w:rsidRDefault="00C900A2" w:rsidP="00D71238">
      <w:pPr>
        <w:rPr>
          <w:color w:val="auto"/>
        </w:rPr>
      </w:pPr>
    </w:p>
    <w:p w:rsidR="00C900A2" w:rsidRDefault="00C900A2" w:rsidP="00D71238">
      <w:pPr>
        <w:rPr>
          <w:b/>
          <w:color w:val="auto"/>
        </w:rPr>
      </w:pPr>
      <w:r w:rsidRPr="00C900A2">
        <w:rPr>
          <w:b/>
          <w:color w:val="auto"/>
        </w:rPr>
        <w:t>Ce que vous devez savoir </w:t>
      </w:r>
    </w:p>
    <w:p w:rsidR="00C900A2" w:rsidRDefault="00C900A2" w:rsidP="00D71238">
      <w:pPr>
        <w:rPr>
          <w:b/>
          <w:color w:val="auto"/>
        </w:rPr>
      </w:pPr>
    </w:p>
    <w:p w:rsidR="00C900A2" w:rsidRPr="00C900A2" w:rsidRDefault="00C900A2" w:rsidP="00D71238">
      <w:pPr>
        <w:rPr>
          <w:color w:val="auto"/>
        </w:rPr>
      </w:pPr>
      <w:r w:rsidRPr="00C900A2">
        <w:rPr>
          <w:color w:val="auto"/>
        </w:rPr>
        <w:t>Tel que déjà mentionné, à partir du 1</w:t>
      </w:r>
      <w:r w:rsidRPr="00C900A2">
        <w:rPr>
          <w:color w:val="auto"/>
          <w:vertAlign w:val="superscript"/>
        </w:rPr>
        <w:t>er</w:t>
      </w:r>
      <w:r w:rsidRPr="00C900A2">
        <w:rPr>
          <w:color w:val="auto"/>
        </w:rPr>
        <w:t xml:space="preserve"> janvier 2015, pour les membres admissibles au choix, désirant continuer à utiliser celui-ci, l’Agence du revenu du Québec (« ARQ ») exigera la production du nouveau formulaire, et ce, au plus tard le 31 décembre 2015. Pour les nouvelles sociétés voulant faire ce choix et qui n’ont jamais fait le choix antérieurement, celles-ci devront produire le formulaire au plus tard le premier jour où l’une des parties au choix est tenu</w:t>
      </w:r>
      <w:r w:rsidR="007074E2">
        <w:rPr>
          <w:color w:val="auto"/>
        </w:rPr>
        <w:t>e</w:t>
      </w:r>
      <w:r w:rsidRPr="00C900A2">
        <w:rPr>
          <w:color w:val="auto"/>
        </w:rPr>
        <w:t xml:space="preserve"> de produire sa déclaration de taxes pour la période au cours de laquelle le choix entre en vigueur.</w:t>
      </w:r>
    </w:p>
    <w:p w:rsidR="00C900A2" w:rsidRDefault="00C900A2" w:rsidP="00D71238">
      <w:pPr>
        <w:rPr>
          <w:color w:val="auto"/>
        </w:rPr>
      </w:pPr>
      <w:r w:rsidRPr="00C900A2">
        <w:rPr>
          <w:color w:val="auto"/>
        </w:rPr>
        <w:t>Le nouveau formulaire de choix à compléter et à transmettre à l’ARQ est le FP-4616.</w:t>
      </w:r>
    </w:p>
    <w:p w:rsidR="00C900A2" w:rsidRDefault="00C900A2" w:rsidP="00D71238">
      <w:pPr>
        <w:rPr>
          <w:color w:val="auto"/>
        </w:rPr>
      </w:pPr>
    </w:p>
    <w:p w:rsidR="00C900A2" w:rsidRDefault="00C900A2" w:rsidP="00D71238">
      <w:pPr>
        <w:rPr>
          <w:b/>
          <w:color w:val="auto"/>
        </w:rPr>
      </w:pPr>
      <w:r w:rsidRPr="00C900A2">
        <w:rPr>
          <w:b/>
          <w:color w:val="auto"/>
        </w:rPr>
        <w:lastRenderedPageBreak/>
        <w:t>L’importance de s’y conformer </w:t>
      </w:r>
    </w:p>
    <w:p w:rsidR="00C900A2" w:rsidRPr="00C900A2" w:rsidRDefault="00C900A2" w:rsidP="00D71238">
      <w:pPr>
        <w:rPr>
          <w:b/>
          <w:color w:val="auto"/>
        </w:rPr>
      </w:pPr>
    </w:p>
    <w:p w:rsidR="00C900A2" w:rsidRPr="00C900A2" w:rsidRDefault="00C900A2" w:rsidP="00D71238">
      <w:pPr>
        <w:rPr>
          <w:color w:val="auto"/>
        </w:rPr>
      </w:pPr>
      <w:r w:rsidRPr="00C900A2">
        <w:rPr>
          <w:color w:val="auto"/>
        </w:rPr>
        <w:t>Nous avons le devoir de vous mentionner que le non-respect de cette exigence de production du formulaire pourra entraîner des conséquences par l’imposition de pénalités et intérêts en regard des transactions effectuées entre les sociétés étroitement liées et qui n’auront pas fait l’objet de perception et paiement de taxes.</w:t>
      </w:r>
    </w:p>
    <w:p w:rsidR="00C900A2" w:rsidRPr="00C900A2" w:rsidRDefault="00C900A2" w:rsidP="00D71238">
      <w:pPr>
        <w:rPr>
          <w:b/>
          <w:color w:val="auto"/>
        </w:rPr>
      </w:pPr>
    </w:p>
    <w:p w:rsidR="00D71238" w:rsidRDefault="00D71238" w:rsidP="00D71238">
      <w:pPr>
        <w:rPr>
          <w:b/>
          <w:color w:val="auto"/>
        </w:rPr>
      </w:pPr>
    </w:p>
    <w:p w:rsidR="00C900A2" w:rsidRPr="00C900A2" w:rsidRDefault="00C900A2" w:rsidP="00D71238">
      <w:pPr>
        <w:rPr>
          <w:b/>
          <w:color w:val="auto"/>
        </w:rPr>
      </w:pPr>
      <w:r w:rsidRPr="00C900A2">
        <w:rPr>
          <w:b/>
          <w:color w:val="auto"/>
        </w:rPr>
        <w:t>Commerce électronique : suivi sur les travaux de l’OCDE</w:t>
      </w:r>
    </w:p>
    <w:p w:rsidR="00C900A2" w:rsidRPr="00C900A2" w:rsidRDefault="00C900A2" w:rsidP="00D71238">
      <w:pPr>
        <w:rPr>
          <w:color w:val="auto"/>
        </w:rPr>
      </w:pPr>
    </w:p>
    <w:p w:rsidR="00C900A2" w:rsidRDefault="00C900A2" w:rsidP="00D71238">
      <w:pPr>
        <w:rPr>
          <w:bCs/>
          <w:color w:val="auto"/>
          <w:shd w:val="clear" w:color="auto" w:fill="FFFFFF"/>
        </w:rPr>
      </w:pPr>
      <w:r w:rsidRPr="00C900A2">
        <w:rPr>
          <w:bCs/>
          <w:color w:val="auto"/>
          <w:shd w:val="clear" w:color="auto" w:fill="FFFFFF"/>
        </w:rPr>
        <w:t>Lors de l’une de nos parutions précédentes, nous avons traité de l’intention de l’Organisation de coopération et de développement économiques («</w:t>
      </w:r>
      <w:r w:rsidR="007074E2">
        <w:rPr>
          <w:bCs/>
          <w:color w:val="auto"/>
          <w:shd w:val="clear" w:color="auto" w:fill="FFFFFF"/>
        </w:rPr>
        <w:t> </w:t>
      </w:r>
      <w:r w:rsidRPr="00C900A2">
        <w:rPr>
          <w:bCs/>
          <w:color w:val="auto"/>
          <w:shd w:val="clear" w:color="auto" w:fill="FFFFFF"/>
        </w:rPr>
        <w:t>OCDE</w:t>
      </w:r>
      <w:r w:rsidR="007074E2">
        <w:rPr>
          <w:bCs/>
          <w:color w:val="auto"/>
          <w:shd w:val="clear" w:color="auto" w:fill="FFFFFF"/>
        </w:rPr>
        <w:t> </w:t>
      </w:r>
      <w:r w:rsidRPr="00C900A2">
        <w:rPr>
          <w:bCs/>
          <w:color w:val="auto"/>
          <w:shd w:val="clear" w:color="auto" w:fill="FFFFFF"/>
        </w:rPr>
        <w:t>») de trouver des solutions aux défis représentés par l’économie numérique et le commerce international.</w:t>
      </w:r>
    </w:p>
    <w:p w:rsidR="00C900A2" w:rsidRPr="00C900A2" w:rsidRDefault="00C900A2"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t xml:space="preserve">En décembre dernier, l’OCDE a rendu publics les </w:t>
      </w:r>
      <w:r w:rsidRPr="00C900A2">
        <w:rPr>
          <w:bCs/>
          <w:i/>
          <w:color w:val="auto"/>
          <w:shd w:val="clear" w:color="auto" w:fill="FFFFFF"/>
        </w:rPr>
        <w:t>Principes directeurs internationaux pour la TVA/TPS</w:t>
      </w:r>
      <w:r w:rsidRPr="00C900A2">
        <w:rPr>
          <w:bCs/>
          <w:color w:val="auto"/>
          <w:shd w:val="clear" w:color="auto" w:fill="FFFFFF"/>
        </w:rPr>
        <w:t>. Bien que ce document ne soit qu’un projet soumis pour commentaires, il nous donne tout de même les grandes lignes des principes qui seront visiblement adoptés en matière de taxe de vente sur les transactions de biens et services incorporels et le commerce international.</w:t>
      </w:r>
    </w:p>
    <w:p w:rsidR="00C900A2" w:rsidRPr="00C900A2" w:rsidRDefault="00C900A2"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t>L’OCDE propose que le principe de « destination » soit celui retenu, c’est-à-dire que la taxe de vente soit perçue par la juridiction régissant le lieu où est livré ou fourni</w:t>
      </w:r>
      <w:r w:rsidR="007074E2">
        <w:rPr>
          <w:bCs/>
          <w:color w:val="auto"/>
          <w:shd w:val="clear" w:color="auto" w:fill="FFFFFF"/>
        </w:rPr>
        <w:t>t</w:t>
      </w:r>
      <w:r w:rsidRPr="00C900A2">
        <w:rPr>
          <w:bCs/>
          <w:color w:val="auto"/>
          <w:shd w:val="clear" w:color="auto" w:fill="FFFFFF"/>
        </w:rPr>
        <w:t xml:space="preserve"> le bien ou le service</w:t>
      </w:r>
      <w:r w:rsidRPr="00C900A2">
        <w:rPr>
          <w:rStyle w:val="Appelnotedebasdep"/>
          <w:bCs/>
          <w:color w:val="auto"/>
          <w:shd w:val="clear" w:color="auto" w:fill="FFFFFF"/>
        </w:rPr>
        <w:footnoteReference w:id="1"/>
      </w:r>
      <w:r w:rsidRPr="00C900A2">
        <w:rPr>
          <w:bCs/>
          <w:color w:val="auto"/>
          <w:shd w:val="clear" w:color="auto" w:fill="FFFFFF"/>
        </w:rPr>
        <w:t>. En effet, selon cet organisme, « l’application du principe de destination en matière de TVA assure la neutralité des échanges internationaux. »</w:t>
      </w:r>
    </w:p>
    <w:p w:rsidR="00C900A2" w:rsidRPr="00C900A2" w:rsidRDefault="00C900A2"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t xml:space="preserve">Les règles actuellement en vigueur au Canada concernant le lieu de fourniture sont, en général, conformes à celles qui pourraient être adoptées par l’OCDE. En effet, les concepts retrouvés au </w:t>
      </w:r>
      <w:r w:rsidRPr="00C900A2">
        <w:rPr>
          <w:bCs/>
          <w:i/>
          <w:color w:val="auto"/>
          <w:shd w:val="clear" w:color="auto" w:fill="FFFFFF"/>
        </w:rPr>
        <w:t>Bulletin d’interprétation technique sur la TPS/TVH</w:t>
      </w:r>
      <w:r w:rsidR="007074E2">
        <w:rPr>
          <w:bCs/>
          <w:i/>
          <w:color w:val="auto"/>
          <w:shd w:val="clear" w:color="auto" w:fill="FFFFFF"/>
        </w:rPr>
        <w:t> </w:t>
      </w:r>
      <w:r w:rsidRPr="00C900A2">
        <w:rPr>
          <w:bCs/>
          <w:i/>
          <w:color w:val="auto"/>
          <w:shd w:val="clear" w:color="auto" w:fill="FFFFFF"/>
        </w:rPr>
        <w:t xml:space="preserve">B-103 </w:t>
      </w:r>
      <w:r w:rsidR="007074E2">
        <w:rPr>
          <w:bCs/>
          <w:i/>
          <w:color w:val="auto"/>
          <w:shd w:val="clear" w:color="auto" w:fill="FFFFFF"/>
        </w:rPr>
        <w:t>—</w:t>
      </w:r>
      <w:r w:rsidRPr="00C900A2">
        <w:rPr>
          <w:bCs/>
          <w:i/>
          <w:color w:val="auto"/>
          <w:shd w:val="clear" w:color="auto" w:fill="FFFFFF"/>
        </w:rPr>
        <w:t xml:space="preserve"> Règles sur le lieu de fourniture pour déterminer si une fourniture est effectuée dans une province</w:t>
      </w:r>
      <w:r w:rsidRPr="00C900A2">
        <w:rPr>
          <w:bCs/>
          <w:color w:val="auto"/>
          <w:shd w:val="clear" w:color="auto" w:fill="FFFFFF"/>
        </w:rPr>
        <w:t xml:space="preserve"> sont essentiellement basées sur le concept du lieu de fourniture (ou de destination) du bien ou du service. </w:t>
      </w:r>
    </w:p>
    <w:p w:rsidR="00C900A2" w:rsidRPr="00C900A2" w:rsidRDefault="00C900A2"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t>La proposition de l’OCDE est donc que la juridiction qui soit en droit d’imposer la taxe sur les biens et services soit celle :</w:t>
      </w:r>
    </w:p>
    <w:p w:rsidR="00C900A2" w:rsidRPr="00C900A2" w:rsidRDefault="00C900A2" w:rsidP="00D71238">
      <w:pPr>
        <w:rPr>
          <w:bCs/>
          <w:color w:val="auto"/>
          <w:shd w:val="clear" w:color="auto" w:fill="FFFFFF"/>
        </w:rPr>
      </w:pPr>
    </w:p>
    <w:p w:rsidR="00C900A2" w:rsidRPr="00D71238" w:rsidRDefault="00C900A2" w:rsidP="00D71238">
      <w:pPr>
        <w:pStyle w:val="Paragraphedeliste"/>
        <w:numPr>
          <w:ilvl w:val="0"/>
          <w:numId w:val="40"/>
        </w:numPr>
        <w:overflowPunct/>
        <w:autoSpaceDE/>
        <w:autoSpaceDN/>
        <w:adjustRightInd/>
        <w:textAlignment w:val="auto"/>
        <w:rPr>
          <w:bCs/>
          <w:color w:val="auto"/>
          <w:shd w:val="clear" w:color="auto" w:fill="FFFFFF"/>
        </w:rPr>
      </w:pPr>
      <w:r w:rsidRPr="00D71238">
        <w:rPr>
          <w:bCs/>
          <w:color w:val="auto"/>
          <w:shd w:val="clear" w:color="auto" w:fill="FFFFFF"/>
        </w:rPr>
        <w:t>du lieu où le client est situé;</w:t>
      </w:r>
    </w:p>
    <w:p w:rsidR="00C900A2" w:rsidRPr="00D71238" w:rsidRDefault="00C900A2" w:rsidP="00D71238">
      <w:pPr>
        <w:pStyle w:val="Paragraphedeliste"/>
        <w:numPr>
          <w:ilvl w:val="0"/>
          <w:numId w:val="40"/>
        </w:numPr>
        <w:overflowPunct/>
        <w:autoSpaceDE/>
        <w:autoSpaceDN/>
        <w:adjustRightInd/>
        <w:textAlignment w:val="auto"/>
        <w:rPr>
          <w:bCs/>
          <w:color w:val="auto"/>
          <w:shd w:val="clear" w:color="auto" w:fill="FFFFFF"/>
        </w:rPr>
      </w:pPr>
      <w:r w:rsidRPr="00D71238">
        <w:rPr>
          <w:bCs/>
          <w:color w:val="auto"/>
          <w:shd w:val="clear" w:color="auto" w:fill="FFFFFF"/>
        </w:rPr>
        <w:t>du lieu où le bien ou service est réellement consommé/livré;</w:t>
      </w:r>
    </w:p>
    <w:p w:rsidR="00C900A2" w:rsidRPr="00D71238" w:rsidRDefault="00C900A2" w:rsidP="00D71238">
      <w:pPr>
        <w:pStyle w:val="Paragraphedeliste"/>
        <w:numPr>
          <w:ilvl w:val="0"/>
          <w:numId w:val="40"/>
        </w:numPr>
        <w:overflowPunct/>
        <w:autoSpaceDE/>
        <w:autoSpaceDN/>
        <w:adjustRightInd/>
        <w:textAlignment w:val="auto"/>
        <w:rPr>
          <w:bCs/>
          <w:color w:val="auto"/>
          <w:shd w:val="clear" w:color="auto" w:fill="FFFFFF"/>
        </w:rPr>
      </w:pPr>
      <w:r w:rsidRPr="00D71238">
        <w:rPr>
          <w:bCs/>
          <w:color w:val="auto"/>
          <w:shd w:val="clear" w:color="auto" w:fill="FFFFFF"/>
        </w:rPr>
        <w:t>dans le cas d’une entité avec des établissements multiples, du lieu où se trouve l’établissement(s) qui utilise effectivement le bien/service;</w:t>
      </w:r>
    </w:p>
    <w:p w:rsidR="00C900A2" w:rsidRPr="00C900A2" w:rsidRDefault="00C900A2" w:rsidP="00D71238">
      <w:pPr>
        <w:rPr>
          <w:bCs/>
          <w:color w:val="auto"/>
          <w:shd w:val="clear" w:color="auto" w:fill="FFFFFF"/>
        </w:rPr>
      </w:pPr>
    </w:p>
    <w:p w:rsidR="00C900A2" w:rsidRDefault="00C900A2" w:rsidP="00D71238">
      <w:pPr>
        <w:rPr>
          <w:bCs/>
          <w:color w:val="auto"/>
          <w:shd w:val="clear" w:color="auto" w:fill="FFFFFF"/>
        </w:rPr>
      </w:pPr>
      <w:r w:rsidRPr="00C900A2">
        <w:rPr>
          <w:bCs/>
          <w:color w:val="auto"/>
          <w:shd w:val="clear" w:color="auto" w:fill="FFFFFF"/>
        </w:rPr>
        <w:t>Certaines exceptions sont soulevées dans le document, notamment lorsqu’un bien/service est acquis relativement à un immeuble. Dans ce cas, ce sera la juridiction du lieu où se trouve l’immeuble qui sera en droit de percevoir la taxe de vente.</w:t>
      </w:r>
    </w:p>
    <w:p w:rsidR="00AE4595" w:rsidRDefault="00AE4595"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lastRenderedPageBreak/>
        <w:t>Finalement, l’OCDE mentionne qu’une entreprise non</w:t>
      </w:r>
      <w:r w:rsidR="007074E2">
        <w:rPr>
          <w:bCs/>
          <w:color w:val="auto"/>
          <w:shd w:val="clear" w:color="auto" w:fill="FFFFFF"/>
        </w:rPr>
        <w:t xml:space="preserve"> </w:t>
      </w:r>
      <w:r w:rsidRPr="00C900A2">
        <w:rPr>
          <w:bCs/>
          <w:color w:val="auto"/>
          <w:shd w:val="clear" w:color="auto" w:fill="FFFFFF"/>
        </w:rPr>
        <w:t>résidente offrant des biens ou services directement aux consommateurs devrait s’inscrire au fichier de la taxe de vente en vigueur dans la juridiction où se situe</w:t>
      </w:r>
      <w:r w:rsidR="007074E2">
        <w:rPr>
          <w:bCs/>
          <w:color w:val="auto"/>
          <w:shd w:val="clear" w:color="auto" w:fill="FFFFFF"/>
        </w:rPr>
        <w:t>nt</w:t>
      </w:r>
      <w:r w:rsidRPr="00C900A2">
        <w:rPr>
          <w:bCs/>
          <w:color w:val="auto"/>
          <w:shd w:val="clear" w:color="auto" w:fill="FFFFFF"/>
        </w:rPr>
        <w:t xml:space="preserve"> ces derniers. À cet effet, elle propose aux juridictions de mettre en place un système d’inscription simplifié pour ces entreprises qui désirent se conformer aux règles applicables afin d’en faciliter l’observance.</w:t>
      </w:r>
    </w:p>
    <w:p w:rsidR="00C900A2" w:rsidRPr="00C900A2" w:rsidRDefault="00C900A2" w:rsidP="00D71238">
      <w:pPr>
        <w:rPr>
          <w:bCs/>
          <w:color w:val="auto"/>
          <w:shd w:val="clear" w:color="auto" w:fill="FFFFFF"/>
        </w:rPr>
      </w:pPr>
    </w:p>
    <w:p w:rsidR="00C900A2" w:rsidRPr="00C900A2" w:rsidRDefault="00C900A2" w:rsidP="00D71238">
      <w:pPr>
        <w:rPr>
          <w:bCs/>
          <w:color w:val="auto"/>
          <w:shd w:val="clear" w:color="auto" w:fill="FFFFFF"/>
        </w:rPr>
      </w:pPr>
      <w:r w:rsidRPr="00C900A2">
        <w:rPr>
          <w:bCs/>
          <w:color w:val="auto"/>
          <w:shd w:val="clear" w:color="auto" w:fill="FFFFFF"/>
        </w:rPr>
        <w:t>Dans le dernier budget fédéral</w:t>
      </w:r>
      <w:r w:rsidR="007074E2">
        <w:rPr>
          <w:bCs/>
          <w:color w:val="auto"/>
          <w:shd w:val="clear" w:color="auto" w:fill="FFFFFF"/>
        </w:rPr>
        <w:t> </w:t>
      </w:r>
      <w:r w:rsidRPr="00C900A2">
        <w:rPr>
          <w:bCs/>
          <w:color w:val="auto"/>
          <w:shd w:val="clear" w:color="auto" w:fill="FFFFFF"/>
        </w:rPr>
        <w:t>2014, le gouvernement a mentionné qu’il obtiendrait des commentaires du public à l’égard de mécanisme de perception des taxes à la consommation des ventes en ligne par de sociétés non</w:t>
      </w:r>
      <w:r w:rsidR="007074E2">
        <w:rPr>
          <w:bCs/>
          <w:color w:val="auto"/>
          <w:shd w:val="clear" w:color="auto" w:fill="FFFFFF"/>
        </w:rPr>
        <w:t xml:space="preserve"> </w:t>
      </w:r>
      <w:r w:rsidRPr="00C900A2">
        <w:rPr>
          <w:bCs/>
          <w:color w:val="auto"/>
          <w:shd w:val="clear" w:color="auto" w:fill="FFFFFF"/>
        </w:rPr>
        <w:t>résidentes du Canada. Reste à voir comment les administrations fiscales s’assureront que la méthode de perception de la taxe ne nuira pas au commerce numérique.</w:t>
      </w:r>
    </w:p>
    <w:p w:rsidR="00C900A2" w:rsidRPr="00C900A2" w:rsidRDefault="00C900A2" w:rsidP="00D71238">
      <w:pPr>
        <w:rPr>
          <w:bCs/>
          <w:color w:val="auto"/>
          <w:shd w:val="clear" w:color="auto" w:fill="FFFFFF"/>
        </w:rPr>
      </w:pPr>
    </w:p>
    <w:p w:rsidR="00D71238" w:rsidRDefault="00D71238" w:rsidP="00D71238">
      <w:pPr>
        <w:rPr>
          <w:b/>
          <w:color w:val="auto"/>
        </w:rPr>
      </w:pPr>
    </w:p>
    <w:p w:rsidR="00C900A2" w:rsidRDefault="00C900A2" w:rsidP="00D71238">
      <w:pPr>
        <w:rPr>
          <w:b/>
          <w:color w:val="auto"/>
        </w:rPr>
      </w:pPr>
      <w:r w:rsidRPr="00C900A2">
        <w:rPr>
          <w:b/>
          <w:color w:val="auto"/>
        </w:rPr>
        <w:t xml:space="preserve">L’Affaire Salaison Lévesque </w:t>
      </w:r>
      <w:r w:rsidR="007074E2">
        <w:rPr>
          <w:b/>
          <w:color w:val="auto"/>
        </w:rPr>
        <w:t>i</w:t>
      </w:r>
      <w:r w:rsidRPr="00C900A2">
        <w:rPr>
          <w:b/>
          <w:color w:val="auto"/>
        </w:rPr>
        <w:t>nc. – Décision de la Cour d’appel fédérale</w:t>
      </w:r>
    </w:p>
    <w:p w:rsidR="00C900A2" w:rsidRPr="00C900A2" w:rsidRDefault="00C900A2" w:rsidP="00D71238">
      <w:pPr>
        <w:rPr>
          <w:b/>
          <w:color w:val="auto"/>
        </w:rPr>
      </w:pPr>
    </w:p>
    <w:p w:rsidR="00C900A2" w:rsidRDefault="00C900A2" w:rsidP="00D71238">
      <w:pPr>
        <w:rPr>
          <w:color w:val="auto"/>
        </w:rPr>
      </w:pPr>
      <w:r w:rsidRPr="00C900A2">
        <w:rPr>
          <w:color w:val="auto"/>
        </w:rPr>
        <w:t>La Cour d’appel fédérale «</w:t>
      </w:r>
      <w:r w:rsidR="007074E2">
        <w:rPr>
          <w:color w:val="auto"/>
        </w:rPr>
        <w:t> </w:t>
      </w:r>
      <w:r w:rsidRPr="00C900A2">
        <w:rPr>
          <w:color w:val="auto"/>
        </w:rPr>
        <w:t>CAF</w:t>
      </w:r>
      <w:r w:rsidR="007074E2">
        <w:rPr>
          <w:color w:val="auto"/>
        </w:rPr>
        <w:t> </w:t>
      </w:r>
      <w:r w:rsidRPr="00C900A2">
        <w:rPr>
          <w:color w:val="auto"/>
        </w:rPr>
        <w:t>» a récemment rendu jugement dans le dossier de Salaison Lévesque inc.  «</w:t>
      </w:r>
      <w:r w:rsidR="007074E2">
        <w:rPr>
          <w:color w:val="auto"/>
        </w:rPr>
        <w:t> </w:t>
      </w:r>
      <w:r w:rsidRPr="00C900A2">
        <w:rPr>
          <w:color w:val="auto"/>
        </w:rPr>
        <w:t>Salaison</w:t>
      </w:r>
      <w:r w:rsidR="007074E2">
        <w:rPr>
          <w:color w:val="auto"/>
        </w:rPr>
        <w:t> </w:t>
      </w:r>
      <w:r w:rsidRPr="00C900A2">
        <w:rPr>
          <w:color w:val="auto"/>
        </w:rPr>
        <w:t>», lequel jugement était très attendu par les différents intervenants en matière de taxes de vente. En effet, cette cause traitant du droit aux crédits de taxes sur les intrants (« CTI ») en regard de la TPS payée aux diverses agences de placement qui n’avaient pas remis aux autorités fiscales la taxe perçue.</w:t>
      </w:r>
    </w:p>
    <w:p w:rsidR="00C900A2" w:rsidRPr="00C900A2" w:rsidRDefault="00C900A2" w:rsidP="00D71238">
      <w:pPr>
        <w:rPr>
          <w:color w:val="auto"/>
        </w:rPr>
      </w:pPr>
    </w:p>
    <w:p w:rsidR="00C900A2" w:rsidRDefault="00C900A2" w:rsidP="00D71238">
      <w:pPr>
        <w:rPr>
          <w:color w:val="auto"/>
        </w:rPr>
      </w:pPr>
      <w:r w:rsidRPr="00C900A2">
        <w:rPr>
          <w:color w:val="auto"/>
        </w:rPr>
        <w:t>Il nous appara</w:t>
      </w:r>
      <w:r w:rsidR="007074E2">
        <w:rPr>
          <w:color w:val="auto"/>
        </w:rPr>
        <w:t>î</w:t>
      </w:r>
      <w:r w:rsidRPr="00C900A2">
        <w:rPr>
          <w:color w:val="auto"/>
        </w:rPr>
        <w:t xml:space="preserve">t opportun de vous résumer les faits de ce dossier. Salaison est une entreprise familiale fondée en 1967 et son activité commerciale est la transformation de jambon. Elle embauche environ soixante-quinze personnes à temps plein. Les fournitures qu’elle produit sont périssables, donc lors des périodes de grand achalandage, Salaison doit avoir recours à plus de main-d’œuvre pour fournir à la demande. Elle fait donc affaire avec des agences de placement pour combler son manque d’employés. </w:t>
      </w:r>
    </w:p>
    <w:p w:rsidR="00C900A2" w:rsidRPr="00C900A2" w:rsidRDefault="00C900A2" w:rsidP="00D71238">
      <w:pPr>
        <w:rPr>
          <w:color w:val="auto"/>
        </w:rPr>
      </w:pPr>
    </w:p>
    <w:p w:rsidR="00C900A2" w:rsidRDefault="00C900A2" w:rsidP="00D71238">
      <w:pPr>
        <w:rPr>
          <w:color w:val="auto"/>
        </w:rPr>
      </w:pPr>
      <w:r w:rsidRPr="00C900A2">
        <w:rPr>
          <w:color w:val="auto"/>
        </w:rPr>
        <w:t>L’Agence du Revenu du Québec «</w:t>
      </w:r>
      <w:r w:rsidR="007074E2">
        <w:rPr>
          <w:color w:val="auto"/>
        </w:rPr>
        <w:t> </w:t>
      </w:r>
      <w:r w:rsidRPr="00C900A2">
        <w:rPr>
          <w:color w:val="auto"/>
        </w:rPr>
        <w:t>ARQ</w:t>
      </w:r>
      <w:r w:rsidR="007074E2">
        <w:rPr>
          <w:color w:val="auto"/>
        </w:rPr>
        <w:t> </w:t>
      </w:r>
      <w:r w:rsidRPr="00C900A2">
        <w:rPr>
          <w:color w:val="auto"/>
        </w:rPr>
        <w:t xml:space="preserve">» a refusé les CTI que Salaison a réclamé sur les factures de trois agences de placement en se basant sur le fait que ces agences n’avaient pas remis les taxes perçues sur les services rendus basé sur le fait que ces services n’auraient pas réellement été rendus à Salaison par les agences. </w:t>
      </w:r>
    </w:p>
    <w:p w:rsidR="00C900A2" w:rsidRPr="00C900A2" w:rsidRDefault="00C900A2" w:rsidP="00D71238">
      <w:pPr>
        <w:rPr>
          <w:color w:val="auto"/>
        </w:rPr>
      </w:pPr>
    </w:p>
    <w:p w:rsidR="00C900A2" w:rsidRDefault="00C900A2" w:rsidP="00D71238">
      <w:pPr>
        <w:rPr>
          <w:color w:val="auto"/>
        </w:rPr>
      </w:pPr>
      <w:r w:rsidRPr="00C900A2">
        <w:rPr>
          <w:color w:val="auto"/>
        </w:rPr>
        <w:t>Salaison s’est adressée à la Cour canadienne de l’impôt</w:t>
      </w:r>
      <w:r w:rsidR="007074E2">
        <w:rPr>
          <w:color w:val="auto"/>
        </w:rPr>
        <w:t> </w:t>
      </w:r>
      <w:r w:rsidRPr="00C900A2">
        <w:rPr>
          <w:color w:val="auto"/>
        </w:rPr>
        <w:t>«</w:t>
      </w:r>
      <w:r w:rsidR="007074E2">
        <w:rPr>
          <w:color w:val="auto"/>
        </w:rPr>
        <w:t> </w:t>
      </w:r>
      <w:r w:rsidRPr="00C900A2">
        <w:rPr>
          <w:color w:val="auto"/>
        </w:rPr>
        <w:t>CCI</w:t>
      </w:r>
      <w:r w:rsidR="007074E2">
        <w:rPr>
          <w:color w:val="auto"/>
        </w:rPr>
        <w:t> </w:t>
      </w:r>
      <w:r w:rsidRPr="00C900A2">
        <w:rPr>
          <w:color w:val="auto"/>
        </w:rPr>
        <w:t>» pour contester les avis de cotisations (visant les périodes de 2005 à 2009) devant l’honorable juge Alain Tardif. La CCI a rendu sa décision le 4 février 2014, mentionnant que l’ARQ invoquait des arguments non cohérents et qu’ils ne s’appuyaient pas sur des faits réels. En effet, l’ARQ se basait sur la non-conformité fiscale des fournisseurs pour déclarer les factures comme étant des factures de complaisance. Salaison a pu démontrer que les services avaient bel et bien été rendus, grâce entre autres aux témoignages de certains employés des agences de placement en question. De plus, Salaison avait validé les numéros de TPS des agences, ce qui témoignait qu’elle n’était pas de connivence avec les agences. La CCI a aussi refusé d’autres arguments de l’ARQ dont notamment celui d’exigence documentaire en regard du nom indiqué sur les factures.</w:t>
      </w:r>
    </w:p>
    <w:p w:rsidR="00C900A2" w:rsidRDefault="00C900A2" w:rsidP="00D71238">
      <w:pPr>
        <w:rPr>
          <w:color w:val="auto"/>
        </w:rPr>
      </w:pPr>
    </w:p>
    <w:p w:rsidR="00C900A2" w:rsidRDefault="00C900A2" w:rsidP="00D71238">
      <w:pPr>
        <w:rPr>
          <w:color w:val="auto"/>
        </w:rPr>
      </w:pPr>
      <w:r w:rsidRPr="00C900A2">
        <w:rPr>
          <w:color w:val="auto"/>
        </w:rPr>
        <w:lastRenderedPageBreak/>
        <w:t>L’ARQ a contesté la décision de la CCI et a déposé un appel devant la CAF. Selon l’ARQ, l’honorable juge Alain Tardif s’était trompé en concluant que Salaison avait réussi à renverser son fardeau de preuve avec les éléments qui lui ont été présentés. La juge Johanne Gauthier de la CAF a mentionné qu’«</w:t>
      </w:r>
      <w:r w:rsidR="007074E2">
        <w:rPr>
          <w:color w:val="auto"/>
        </w:rPr>
        <w:t> </w:t>
      </w:r>
      <w:r w:rsidRPr="00C900A2">
        <w:rPr>
          <w:color w:val="auto"/>
        </w:rPr>
        <w:t>il ne fait aucun doute qu’une fois les présomptions ou hypothèses du ministre démolies, c’est l’appelante qui devait prouver par prépondérance de preuve le bien-fondé de sa position selon laquelle les noms des fournisseurs ou les intermédiaires sur les factures n’étaient pas les bons pour que l’appel de Salaison soit rejeté (</w:t>
      </w:r>
      <w:r w:rsidRPr="00C900A2">
        <w:rPr>
          <w:i/>
          <w:color w:val="auto"/>
        </w:rPr>
        <w:t>Hickman</w:t>
      </w:r>
      <w:r w:rsidRPr="00C900A2">
        <w:rPr>
          <w:color w:val="auto"/>
        </w:rPr>
        <w:t>, paragraphe</w:t>
      </w:r>
      <w:r w:rsidR="007074E2">
        <w:rPr>
          <w:color w:val="auto"/>
        </w:rPr>
        <w:t> </w:t>
      </w:r>
      <w:r w:rsidRPr="00C900A2">
        <w:rPr>
          <w:color w:val="auto"/>
        </w:rPr>
        <w:t>94). Le juge dit bien au paragraphe</w:t>
      </w:r>
      <w:r w:rsidR="007074E2">
        <w:rPr>
          <w:color w:val="auto"/>
        </w:rPr>
        <w:t> </w:t>
      </w:r>
      <w:r w:rsidRPr="00C900A2">
        <w:rPr>
          <w:color w:val="auto"/>
        </w:rPr>
        <w:t xml:space="preserve">54 que la preuve de l’appelante était insuffisante – elle </w:t>
      </w:r>
      <w:r w:rsidR="007074E2">
        <w:rPr>
          <w:color w:val="auto"/>
        </w:rPr>
        <w:t>“</w:t>
      </w:r>
      <w:r w:rsidRPr="00C900A2">
        <w:rPr>
          <w:color w:val="auto"/>
        </w:rPr>
        <w:t>ne passe pas le test de la prépondérance</w:t>
      </w:r>
      <w:r w:rsidR="007074E2">
        <w:rPr>
          <w:color w:val="auto"/>
        </w:rPr>
        <w:t>”</w:t>
      </w:r>
      <w:r w:rsidRPr="00C900A2">
        <w:rPr>
          <w:color w:val="auto"/>
        </w:rPr>
        <w:t>.</w:t>
      </w:r>
      <w:r w:rsidR="007074E2">
        <w:rPr>
          <w:color w:val="auto"/>
        </w:rPr>
        <w:t> </w:t>
      </w:r>
      <w:r w:rsidRPr="00C900A2">
        <w:rPr>
          <w:color w:val="auto"/>
        </w:rPr>
        <w:t>»</w:t>
      </w:r>
      <w:r w:rsidRPr="00C900A2">
        <w:rPr>
          <w:rStyle w:val="Appelnotedebasdep"/>
          <w:color w:val="auto"/>
        </w:rPr>
        <w:footnoteReference w:id="2"/>
      </w:r>
      <w:r w:rsidRPr="00C900A2">
        <w:rPr>
          <w:color w:val="auto"/>
        </w:rPr>
        <w:t xml:space="preserve"> La juge a donc rejeté l’appel principal de l’ARQ et confirmé le jugement rendu par la CCI.</w:t>
      </w:r>
    </w:p>
    <w:p w:rsidR="00C900A2" w:rsidRPr="00C900A2" w:rsidRDefault="00C900A2" w:rsidP="00D71238">
      <w:pPr>
        <w:rPr>
          <w:color w:val="auto"/>
        </w:rPr>
      </w:pPr>
    </w:p>
    <w:p w:rsidR="00C900A2" w:rsidRPr="00C900A2" w:rsidRDefault="00C900A2" w:rsidP="00D71238">
      <w:pPr>
        <w:rPr>
          <w:color w:val="auto"/>
        </w:rPr>
      </w:pPr>
      <w:r w:rsidRPr="00C900A2">
        <w:rPr>
          <w:color w:val="auto"/>
        </w:rPr>
        <w:t xml:space="preserve">Dans cette affaire, L’ARQ a tenté d’imposer à Salaison le fardeau de démontrer que les factures n’étaient pas des factures de complaisance en allant plus loin que ce que la Loi l’exige. Pourtant, devant la CAF, l’ARQ a plutôt évoqué des fausses factures, ce qui exclut l’implication de Salaison dans un stratagème avec l’émetteur. Il est maintenant reconnu par la jurisprudence que l’ARQ ne peut pas tenir un contribuable responsable de la fraude fiscale commise par son fournisseur pour refuser les CTI. </w:t>
      </w:r>
    </w:p>
    <w:p w:rsidR="00FE68F2" w:rsidRDefault="00FE68F2" w:rsidP="00E53CEF"/>
    <w:p w:rsidR="00C900A2" w:rsidRDefault="00C900A2" w:rsidP="00E53CEF"/>
    <w:p w:rsidR="00C900A2" w:rsidRDefault="00C900A2" w:rsidP="00E53CEF"/>
    <w:p w:rsidR="00C900A2" w:rsidRDefault="00C900A2" w:rsidP="00E53CEF"/>
    <w:p w:rsidR="00C900A2" w:rsidRPr="009D2C69" w:rsidRDefault="00C900A2" w:rsidP="00C900A2">
      <w:pPr>
        <w:rPr>
          <w:i/>
          <w:sz w:val="20"/>
          <w:szCs w:val="20"/>
        </w:rPr>
      </w:pPr>
      <w:r w:rsidRPr="009D2C69">
        <w:rPr>
          <w:i/>
          <w:sz w:val="20"/>
          <w:szCs w:val="20"/>
          <w:u w:val="single"/>
        </w:rPr>
        <w:t>Rédaction</w:t>
      </w:r>
      <w:r>
        <w:rPr>
          <w:i/>
          <w:sz w:val="20"/>
          <w:szCs w:val="20"/>
          <w:u w:val="single"/>
        </w:rPr>
        <w:t> :</w:t>
      </w:r>
    </w:p>
    <w:p w:rsidR="00C900A2" w:rsidRDefault="00C900A2" w:rsidP="00C900A2">
      <w:pPr>
        <w:rPr>
          <w:i/>
          <w:sz w:val="20"/>
          <w:szCs w:val="20"/>
        </w:rPr>
      </w:pPr>
    </w:p>
    <w:p w:rsidR="00C900A2" w:rsidRDefault="00C900A2" w:rsidP="00C900A2">
      <w:pPr>
        <w:rPr>
          <w:i/>
          <w:sz w:val="20"/>
          <w:szCs w:val="20"/>
        </w:rPr>
      </w:pPr>
      <w:r>
        <w:rPr>
          <w:i/>
          <w:sz w:val="20"/>
          <w:szCs w:val="20"/>
        </w:rPr>
        <w:t>Section </w:t>
      </w:r>
      <w:r w:rsidRPr="009D2C69">
        <w:rPr>
          <w:i/>
          <w:sz w:val="20"/>
          <w:szCs w:val="20"/>
        </w:rPr>
        <w:t>1</w:t>
      </w:r>
      <w:r>
        <w:rPr>
          <w:i/>
          <w:sz w:val="20"/>
          <w:szCs w:val="20"/>
        </w:rPr>
        <w:t> :</w:t>
      </w:r>
    </w:p>
    <w:p w:rsidR="00C900A2" w:rsidRPr="006D49F4" w:rsidRDefault="00C900A2" w:rsidP="00C900A2">
      <w:pPr>
        <w:rPr>
          <w:i/>
          <w:sz w:val="20"/>
          <w:szCs w:val="20"/>
        </w:rPr>
      </w:pPr>
      <w:r>
        <w:rPr>
          <w:i/>
          <w:sz w:val="20"/>
          <w:szCs w:val="20"/>
        </w:rPr>
        <w:t>Mme Joceline Garand Belhumeur, CPA, CA – Girard &amp; Associés CPA inc.</w:t>
      </w:r>
    </w:p>
    <w:p w:rsidR="00C900A2" w:rsidRPr="006D49F4" w:rsidRDefault="00C900A2" w:rsidP="00C900A2">
      <w:pPr>
        <w:rPr>
          <w:i/>
          <w:sz w:val="20"/>
          <w:szCs w:val="20"/>
        </w:rPr>
      </w:pPr>
    </w:p>
    <w:p w:rsidR="00C900A2" w:rsidRPr="009D2C69" w:rsidRDefault="00C900A2" w:rsidP="00C900A2">
      <w:pPr>
        <w:rPr>
          <w:i/>
          <w:sz w:val="20"/>
          <w:szCs w:val="20"/>
        </w:rPr>
      </w:pPr>
      <w:r>
        <w:rPr>
          <w:i/>
          <w:sz w:val="20"/>
          <w:szCs w:val="20"/>
        </w:rPr>
        <w:t>Section </w:t>
      </w:r>
      <w:r w:rsidRPr="009D2C69">
        <w:rPr>
          <w:i/>
          <w:sz w:val="20"/>
          <w:szCs w:val="20"/>
        </w:rPr>
        <w:t>2</w:t>
      </w:r>
      <w:r>
        <w:rPr>
          <w:i/>
          <w:sz w:val="20"/>
          <w:szCs w:val="20"/>
        </w:rPr>
        <w:t> :</w:t>
      </w:r>
    </w:p>
    <w:p w:rsidR="00C900A2" w:rsidRPr="00120281" w:rsidRDefault="00C900A2" w:rsidP="00C900A2">
      <w:r>
        <w:rPr>
          <w:i/>
          <w:sz w:val="20"/>
          <w:szCs w:val="20"/>
        </w:rPr>
        <w:t>Mme Sylvie Therrien, spécialiste en taxes à la consommation, Amyot Gélinas S.E.N.C.R.L.</w:t>
      </w:r>
    </w:p>
    <w:p w:rsidR="00C900A2" w:rsidRPr="0050726A" w:rsidRDefault="00C900A2" w:rsidP="00E53CEF"/>
    <w:sectPr w:rsidR="00C900A2" w:rsidRPr="0050726A" w:rsidSect="00C12317">
      <w:headerReference w:type="even" r:id="rId8"/>
      <w:headerReference w:type="default" r:id="rId9"/>
      <w:footerReference w:type="even" r:id="rId10"/>
      <w:footerReference w:type="default" r:id="rId11"/>
      <w:headerReference w:type="first" r:id="rId12"/>
      <w:footerReference w:type="first" r:id="rId13"/>
      <w:pgSz w:w="12240" w:h="15840"/>
      <w:pgMar w:top="1304" w:right="1531" w:bottom="1304" w:left="153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03" w:rsidRDefault="00151B03" w:rsidP="00E53CEF">
      <w:r>
        <w:separator/>
      </w:r>
    </w:p>
  </w:endnote>
  <w:endnote w:type="continuationSeparator" w:id="0">
    <w:p w:rsidR="00151B03" w:rsidRDefault="00151B03" w:rsidP="00E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Calligraphy">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E2" w:rsidRDefault="007074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EE" w:rsidRDefault="009447EE" w:rsidP="00E53CEF">
    <w:pPr>
      <w:pStyle w:val="Corpsdetexte29"/>
      <w:rPr>
        <w:lang w:val="fr-FR"/>
      </w:rPr>
    </w:pPr>
  </w:p>
  <w:p w:rsidR="009447EE" w:rsidRDefault="009447EE" w:rsidP="00E53CEF">
    <w:pPr>
      <w:pStyle w:val="Corpsdetexte29"/>
    </w:pPr>
    <w:r>
      <w:t>Les informations contenues dans ce communiqué fiscal sont présentées et transmises à titre indicatif seulement et ne sauraient engager de quelque façon que ce soit la responsabilité civile, délictuelle ou contractuelle de Groupe Servicas Inc. ou des personnes qui les ont préparées.</w:t>
    </w:r>
  </w:p>
  <w:p w:rsidR="009447EE" w:rsidRDefault="009447EE" w:rsidP="00E53CEF">
    <w:pPr>
      <w:pStyle w:val="Pieddepage"/>
      <w:rPr>
        <w:rStyle w:val="Numrodepage"/>
        <w:rFonts w:cs="Arial"/>
        <w:b/>
        <w:bCs/>
      </w:rPr>
    </w:pPr>
    <w:r>
      <w:rPr>
        <w:rFonts w:ascii="Lucida Calligraphy" w:hAnsi="Lucida Calligraphy" w:cs="Lucida Calligraphy"/>
        <w:sz w:val="24"/>
        <w:szCs w:val="24"/>
      </w:rPr>
      <w:t>Communiqué fiscal</w:t>
    </w:r>
    <w:r>
      <w:tab/>
      <w:t xml:space="preserve">— </w:t>
    </w:r>
    <w:r w:rsidR="00091386">
      <w:rPr>
        <w:rStyle w:val="Numrodepage"/>
        <w:rFonts w:cs="Arial"/>
        <w:b/>
        <w:bCs/>
      </w:rPr>
      <w:fldChar w:fldCharType="begin"/>
    </w:r>
    <w:r>
      <w:rPr>
        <w:rStyle w:val="Numrodepage"/>
        <w:rFonts w:cs="Arial"/>
        <w:b/>
        <w:bCs/>
      </w:rPr>
      <w:instrText xml:space="preserve"> PAGE </w:instrText>
    </w:r>
    <w:r w:rsidR="00091386">
      <w:rPr>
        <w:rStyle w:val="Numrodepage"/>
        <w:rFonts w:cs="Arial"/>
        <w:b/>
        <w:bCs/>
      </w:rPr>
      <w:fldChar w:fldCharType="separate"/>
    </w:r>
    <w:r w:rsidR="00AE4595">
      <w:rPr>
        <w:rStyle w:val="Numrodepage"/>
        <w:rFonts w:cs="Arial"/>
        <w:b/>
        <w:bCs/>
        <w:noProof/>
      </w:rPr>
      <w:t>1</w:t>
    </w:r>
    <w:r w:rsidR="00091386">
      <w:rPr>
        <w:rStyle w:val="Numrodepage"/>
        <w:rFonts w:cs="Arial"/>
        <w:b/>
        <w:bCs/>
      </w:rPr>
      <w:fldChar w:fldCharType="end"/>
    </w:r>
    <w:r>
      <w:rPr>
        <w:rStyle w:val="Numrodepage"/>
        <w:rFonts w:cs="Arial"/>
        <w:b/>
        <w:bCs/>
      </w:rPr>
      <w:t xml:space="preserve"> — </w:t>
    </w:r>
    <w:r>
      <w:rPr>
        <w:rStyle w:val="Numrodepage"/>
        <w:rFonts w:cs="Arial"/>
        <w:b/>
        <w:bCs/>
      </w:rPr>
      <w:tab/>
    </w:r>
    <w:r>
      <w:rPr>
        <w:noProof/>
      </w:rPr>
      <w:drawing>
        <wp:inline distT="0" distB="0" distL="0" distR="0">
          <wp:extent cx="600075" cy="23812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00075" cy="2381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E2" w:rsidRDefault="007074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03" w:rsidRDefault="00151B03" w:rsidP="00E53CEF">
      <w:r>
        <w:separator/>
      </w:r>
    </w:p>
  </w:footnote>
  <w:footnote w:type="continuationSeparator" w:id="0">
    <w:p w:rsidR="00151B03" w:rsidRDefault="00151B03" w:rsidP="00E53CEF">
      <w:r>
        <w:continuationSeparator/>
      </w:r>
    </w:p>
  </w:footnote>
  <w:footnote w:id="1">
    <w:p w:rsidR="00C900A2" w:rsidRDefault="00C900A2" w:rsidP="00C900A2">
      <w:pPr>
        <w:pStyle w:val="Notedebasdepage"/>
      </w:pPr>
      <w:r>
        <w:rPr>
          <w:rStyle w:val="Appelnotedebasdep"/>
        </w:rPr>
        <w:footnoteRef/>
      </w:r>
      <w:r>
        <w:t xml:space="preserve"> Contrairement au principe voulant que la taxe soit imposée par la juridiction d’origine, soit celle où la valeur ajoutée au bien est créée.</w:t>
      </w:r>
    </w:p>
  </w:footnote>
  <w:footnote w:id="2">
    <w:p w:rsidR="00C900A2" w:rsidRDefault="00C900A2" w:rsidP="00C900A2">
      <w:r>
        <w:rPr>
          <w:rStyle w:val="Appelnotedebasdep"/>
        </w:rPr>
        <w:footnoteRef/>
      </w:r>
      <w:r>
        <w:t xml:space="preserve"> </w:t>
      </w:r>
      <w:r w:rsidRPr="00E5796E">
        <w:rPr>
          <w:sz w:val="18"/>
          <w:szCs w:val="18"/>
        </w:rPr>
        <w:t xml:space="preserve">La Reine c. Salaison Lévesque </w:t>
      </w:r>
      <w:r w:rsidR="007074E2">
        <w:rPr>
          <w:sz w:val="18"/>
          <w:szCs w:val="18"/>
        </w:rPr>
        <w:t>i</w:t>
      </w:r>
      <w:r w:rsidRPr="00E5796E">
        <w:rPr>
          <w:sz w:val="18"/>
          <w:szCs w:val="18"/>
        </w:rPr>
        <w:t>nc., 2014 CAF 296, para. 26</w:t>
      </w:r>
    </w:p>
    <w:p w:rsidR="00C900A2" w:rsidRDefault="00C900A2" w:rsidP="00C900A2">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E2" w:rsidRDefault="007074E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EE" w:rsidRDefault="009447EE" w:rsidP="00C900A2">
    <w:pPr>
      <w:pStyle w:val="En-tte"/>
      <w:tabs>
        <w:tab w:val="clear" w:pos="9406"/>
        <w:tab w:val="right" w:pos="9178"/>
      </w:tabs>
      <w:jc w:val="right"/>
    </w:pPr>
    <w:r>
      <w:rPr>
        <w:noProof/>
      </w:rPr>
      <w:drawing>
        <wp:inline distT="0" distB="0" distL="0" distR="0">
          <wp:extent cx="1057275" cy="4381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57275" cy="438150"/>
                  </a:xfrm>
                  <a:prstGeom prst="rect">
                    <a:avLst/>
                  </a:prstGeom>
                  <a:noFill/>
                  <a:ln w="9525">
                    <a:noFill/>
                    <a:miter lim="800000"/>
                    <a:headEnd/>
                    <a:tailEnd/>
                  </a:ln>
                </pic:spPr>
              </pic:pic>
            </a:graphicData>
          </a:graphic>
        </wp:inline>
      </w:drawing>
    </w:r>
    <w:r w:rsidR="00C900A2">
      <w:tab/>
    </w:r>
    <w:r w:rsidR="00C900A2">
      <w:tab/>
      <w:t>Février 2015</w:t>
    </w:r>
  </w:p>
  <w:p w:rsidR="009447EE" w:rsidRDefault="009447EE" w:rsidP="00E53CE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E2" w:rsidRDefault="007074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6C"/>
      </v:shape>
    </w:pict>
  </w:numPicBullet>
  <w:numPicBullet w:numPicBulletId="1">
    <w:pict>
      <v:shape id="_x0000_i1027" type="#_x0000_t75" style="width:3in;height:3in" o:bullet="t"/>
    </w:pict>
  </w:numPicBullet>
  <w:abstractNum w:abstractNumId="0">
    <w:nsid w:val="01DA4952"/>
    <w:multiLevelType w:val="hybridMultilevel"/>
    <w:tmpl w:val="0F5EEEB6"/>
    <w:lvl w:ilvl="0" w:tplc="0C0C0001">
      <w:start w:val="1"/>
      <w:numFmt w:val="bullet"/>
      <w:lvlText w:val=""/>
      <w:lvlJc w:val="left"/>
      <w:pPr>
        <w:ind w:left="774" w:hanging="360"/>
      </w:pPr>
      <w:rPr>
        <w:rFonts w:ascii="Symbol" w:hAnsi="Symbol" w:hint="default"/>
      </w:rPr>
    </w:lvl>
    <w:lvl w:ilvl="1" w:tplc="0C0C0003">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
    <w:nsid w:val="06EB15EC"/>
    <w:multiLevelType w:val="multilevel"/>
    <w:tmpl w:val="1B168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4666A"/>
    <w:multiLevelType w:val="hybridMultilevel"/>
    <w:tmpl w:val="67ACB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F2F21B0"/>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D1979"/>
    <w:multiLevelType w:val="multilevel"/>
    <w:tmpl w:val="C4B25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2033"/>
    <w:multiLevelType w:val="hybridMultilevel"/>
    <w:tmpl w:val="EC66A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22B35C4"/>
    <w:multiLevelType w:val="hybridMultilevel"/>
    <w:tmpl w:val="E180A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23231E8"/>
    <w:multiLevelType w:val="hybridMultilevel"/>
    <w:tmpl w:val="E6FA8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47911F9"/>
    <w:multiLevelType w:val="hybridMultilevel"/>
    <w:tmpl w:val="6E5E9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9">
    <w:nsid w:val="1D132144"/>
    <w:multiLevelType w:val="hybridMultilevel"/>
    <w:tmpl w:val="552E19D4"/>
    <w:lvl w:ilvl="0" w:tplc="EEEC7066">
      <w:start w:val="1"/>
      <w:numFmt w:val="decimal"/>
      <w:lvlText w:val="%1."/>
      <w:lvlJc w:val="left"/>
      <w:pPr>
        <w:ind w:left="720" w:hanging="360"/>
      </w:pPr>
      <w:rPr>
        <w:rFonts w:ascii="Univers" w:hAnsi="Univers" w:cs="Univers" w:hint="default"/>
        <w:sz w:val="3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D8C28CE"/>
    <w:multiLevelType w:val="hybridMultilevel"/>
    <w:tmpl w:val="20165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F164DCC"/>
    <w:multiLevelType w:val="hybridMultilevel"/>
    <w:tmpl w:val="FBEAD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4271F80"/>
    <w:multiLevelType w:val="hybridMultilevel"/>
    <w:tmpl w:val="3F842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48B1118"/>
    <w:multiLevelType w:val="hybridMultilevel"/>
    <w:tmpl w:val="6CDCC6EA"/>
    <w:lvl w:ilvl="0" w:tplc="B7C20AD2">
      <w:start w:val="1"/>
      <w:numFmt w:val="decimal"/>
      <w:lvlText w:val="%1."/>
      <w:lvlJc w:val="left"/>
      <w:pPr>
        <w:ind w:left="720" w:hanging="360"/>
      </w:pPr>
      <w:rPr>
        <w:rFonts w:ascii="Univers" w:hAnsi="Univers" w:cs="Univer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6956552"/>
    <w:multiLevelType w:val="hybridMultilevel"/>
    <w:tmpl w:val="9410B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266288"/>
    <w:multiLevelType w:val="hybridMultilevel"/>
    <w:tmpl w:val="CA187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9320EBE"/>
    <w:multiLevelType w:val="hybridMultilevel"/>
    <w:tmpl w:val="FC060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6786220"/>
    <w:multiLevelType w:val="hybridMultilevel"/>
    <w:tmpl w:val="6DA60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F633E3"/>
    <w:multiLevelType w:val="hybridMultilevel"/>
    <w:tmpl w:val="81CAA5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A836BFD"/>
    <w:multiLevelType w:val="multilevel"/>
    <w:tmpl w:val="4F1C74F2"/>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273F0"/>
    <w:multiLevelType w:val="hybridMultilevel"/>
    <w:tmpl w:val="EC76114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F056AB1"/>
    <w:multiLevelType w:val="hybridMultilevel"/>
    <w:tmpl w:val="3636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36C4622"/>
    <w:multiLevelType w:val="hybridMultilevel"/>
    <w:tmpl w:val="5F6AC9F4"/>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3">
    <w:nsid w:val="4CD25781"/>
    <w:multiLevelType w:val="hybridMultilevel"/>
    <w:tmpl w:val="832E2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D521295"/>
    <w:multiLevelType w:val="hybridMultilevel"/>
    <w:tmpl w:val="6CDCC6EA"/>
    <w:lvl w:ilvl="0" w:tplc="B7C20AD2">
      <w:start w:val="1"/>
      <w:numFmt w:val="decimal"/>
      <w:lvlText w:val="%1."/>
      <w:lvlJc w:val="left"/>
      <w:pPr>
        <w:ind w:left="720" w:hanging="360"/>
      </w:pPr>
      <w:rPr>
        <w:rFonts w:ascii="Univers" w:hAnsi="Univers" w:cs="Univer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3E00180"/>
    <w:multiLevelType w:val="hybridMultilevel"/>
    <w:tmpl w:val="37FE6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7F50FCD"/>
    <w:multiLevelType w:val="multilevel"/>
    <w:tmpl w:val="DF788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1414ACC"/>
    <w:multiLevelType w:val="hybridMultilevel"/>
    <w:tmpl w:val="80664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45C6031"/>
    <w:multiLevelType w:val="hybridMultilevel"/>
    <w:tmpl w:val="1DB8648E"/>
    <w:lvl w:ilvl="0" w:tplc="0C0C0009">
      <w:start w:val="1"/>
      <w:numFmt w:val="bullet"/>
      <w:lvlText w:val=""/>
      <w:lvlJc w:val="left"/>
      <w:pPr>
        <w:tabs>
          <w:tab w:val="num" w:pos="2268"/>
        </w:tabs>
        <w:ind w:left="2268" w:hanging="360"/>
      </w:pPr>
      <w:rPr>
        <w:rFonts w:ascii="Wingdings" w:hAnsi="Wingdings" w:hint="default"/>
        <w:color w:val="auto"/>
      </w:rPr>
    </w:lvl>
    <w:lvl w:ilvl="1" w:tplc="0C0C0003" w:tentative="1">
      <w:start w:val="1"/>
      <w:numFmt w:val="bullet"/>
      <w:lvlText w:val="o"/>
      <w:lvlJc w:val="left"/>
      <w:pPr>
        <w:tabs>
          <w:tab w:val="num" w:pos="2988"/>
        </w:tabs>
        <w:ind w:left="2988" w:hanging="360"/>
      </w:pPr>
      <w:rPr>
        <w:rFonts w:ascii="Courier New" w:hAnsi="Courier New" w:cs="Courier New" w:hint="default"/>
      </w:rPr>
    </w:lvl>
    <w:lvl w:ilvl="2" w:tplc="0C0C0005" w:tentative="1">
      <w:start w:val="1"/>
      <w:numFmt w:val="bullet"/>
      <w:lvlText w:val=""/>
      <w:lvlJc w:val="left"/>
      <w:pPr>
        <w:tabs>
          <w:tab w:val="num" w:pos="3708"/>
        </w:tabs>
        <w:ind w:left="3708" w:hanging="360"/>
      </w:pPr>
      <w:rPr>
        <w:rFonts w:ascii="Wingdings" w:hAnsi="Wingdings" w:hint="default"/>
      </w:rPr>
    </w:lvl>
    <w:lvl w:ilvl="3" w:tplc="0C0C0001" w:tentative="1">
      <w:start w:val="1"/>
      <w:numFmt w:val="bullet"/>
      <w:lvlText w:val=""/>
      <w:lvlJc w:val="left"/>
      <w:pPr>
        <w:tabs>
          <w:tab w:val="num" w:pos="4428"/>
        </w:tabs>
        <w:ind w:left="4428" w:hanging="360"/>
      </w:pPr>
      <w:rPr>
        <w:rFonts w:ascii="Symbol" w:hAnsi="Symbol" w:hint="default"/>
      </w:rPr>
    </w:lvl>
    <w:lvl w:ilvl="4" w:tplc="0C0C0003" w:tentative="1">
      <w:start w:val="1"/>
      <w:numFmt w:val="bullet"/>
      <w:lvlText w:val="o"/>
      <w:lvlJc w:val="left"/>
      <w:pPr>
        <w:tabs>
          <w:tab w:val="num" w:pos="5148"/>
        </w:tabs>
        <w:ind w:left="5148" w:hanging="360"/>
      </w:pPr>
      <w:rPr>
        <w:rFonts w:ascii="Courier New" w:hAnsi="Courier New" w:cs="Courier New" w:hint="default"/>
      </w:rPr>
    </w:lvl>
    <w:lvl w:ilvl="5" w:tplc="0C0C0005" w:tentative="1">
      <w:start w:val="1"/>
      <w:numFmt w:val="bullet"/>
      <w:lvlText w:val=""/>
      <w:lvlJc w:val="left"/>
      <w:pPr>
        <w:tabs>
          <w:tab w:val="num" w:pos="5868"/>
        </w:tabs>
        <w:ind w:left="5868" w:hanging="360"/>
      </w:pPr>
      <w:rPr>
        <w:rFonts w:ascii="Wingdings" w:hAnsi="Wingdings" w:hint="default"/>
      </w:rPr>
    </w:lvl>
    <w:lvl w:ilvl="6" w:tplc="0C0C0001" w:tentative="1">
      <w:start w:val="1"/>
      <w:numFmt w:val="bullet"/>
      <w:lvlText w:val=""/>
      <w:lvlJc w:val="left"/>
      <w:pPr>
        <w:tabs>
          <w:tab w:val="num" w:pos="6588"/>
        </w:tabs>
        <w:ind w:left="6588" w:hanging="360"/>
      </w:pPr>
      <w:rPr>
        <w:rFonts w:ascii="Symbol" w:hAnsi="Symbol" w:hint="default"/>
      </w:rPr>
    </w:lvl>
    <w:lvl w:ilvl="7" w:tplc="0C0C0003" w:tentative="1">
      <w:start w:val="1"/>
      <w:numFmt w:val="bullet"/>
      <w:lvlText w:val="o"/>
      <w:lvlJc w:val="left"/>
      <w:pPr>
        <w:tabs>
          <w:tab w:val="num" w:pos="7308"/>
        </w:tabs>
        <w:ind w:left="7308" w:hanging="360"/>
      </w:pPr>
      <w:rPr>
        <w:rFonts w:ascii="Courier New" w:hAnsi="Courier New" w:cs="Courier New" w:hint="default"/>
      </w:rPr>
    </w:lvl>
    <w:lvl w:ilvl="8" w:tplc="0C0C0005" w:tentative="1">
      <w:start w:val="1"/>
      <w:numFmt w:val="bullet"/>
      <w:lvlText w:val=""/>
      <w:lvlJc w:val="left"/>
      <w:pPr>
        <w:tabs>
          <w:tab w:val="num" w:pos="8028"/>
        </w:tabs>
        <w:ind w:left="8028" w:hanging="360"/>
      </w:pPr>
      <w:rPr>
        <w:rFonts w:ascii="Wingdings" w:hAnsi="Wingdings" w:hint="default"/>
      </w:rPr>
    </w:lvl>
  </w:abstractNum>
  <w:abstractNum w:abstractNumId="29">
    <w:nsid w:val="649A254C"/>
    <w:multiLevelType w:val="hybridMultilevel"/>
    <w:tmpl w:val="A4D4E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6540379"/>
    <w:multiLevelType w:val="hybridMultilevel"/>
    <w:tmpl w:val="3D30E3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81C420D"/>
    <w:multiLevelType w:val="hybridMultilevel"/>
    <w:tmpl w:val="4662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8DF7527"/>
    <w:multiLevelType w:val="hybridMultilevel"/>
    <w:tmpl w:val="3EB63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AF32F27"/>
    <w:multiLevelType w:val="hybridMultilevel"/>
    <w:tmpl w:val="2D00A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6CE97F93"/>
    <w:multiLevelType w:val="hybridMultilevel"/>
    <w:tmpl w:val="1764CC4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6D397ADC"/>
    <w:multiLevelType w:val="hybridMultilevel"/>
    <w:tmpl w:val="4886AA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782271C4"/>
    <w:multiLevelType w:val="hybridMultilevel"/>
    <w:tmpl w:val="ABF66B8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nsid w:val="795B5CEA"/>
    <w:multiLevelType w:val="hybridMultilevel"/>
    <w:tmpl w:val="6CDCC6EA"/>
    <w:lvl w:ilvl="0" w:tplc="B7C20AD2">
      <w:start w:val="1"/>
      <w:numFmt w:val="decimal"/>
      <w:lvlText w:val="%1."/>
      <w:lvlJc w:val="left"/>
      <w:pPr>
        <w:ind w:left="720" w:hanging="360"/>
      </w:pPr>
      <w:rPr>
        <w:rFonts w:ascii="Univers" w:hAnsi="Univers" w:cs="Univer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9BC6453"/>
    <w:multiLevelType w:val="hybridMultilevel"/>
    <w:tmpl w:val="3AD67DB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7E386F26"/>
    <w:multiLevelType w:val="multilevel"/>
    <w:tmpl w:val="AFC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6"/>
  </w:num>
  <w:num w:numId="3">
    <w:abstractNumId w:val="19"/>
  </w:num>
  <w:num w:numId="4">
    <w:abstractNumId w:val="28"/>
  </w:num>
  <w:num w:numId="5">
    <w:abstractNumId w:val="31"/>
  </w:num>
  <w:num w:numId="6">
    <w:abstractNumId w:val="21"/>
  </w:num>
  <w:num w:numId="7">
    <w:abstractNumId w:val="34"/>
  </w:num>
  <w:num w:numId="8">
    <w:abstractNumId w:val="25"/>
  </w:num>
  <w:num w:numId="9">
    <w:abstractNumId w:val="7"/>
  </w:num>
  <w:num w:numId="10">
    <w:abstractNumId w:val="17"/>
  </w:num>
  <w:num w:numId="11">
    <w:abstractNumId w:val="14"/>
  </w:num>
  <w:num w:numId="12">
    <w:abstractNumId w:val="22"/>
  </w:num>
  <w:num w:numId="13">
    <w:abstractNumId w:val="8"/>
  </w:num>
  <w:num w:numId="14">
    <w:abstractNumId w:val="36"/>
  </w:num>
  <w:num w:numId="15">
    <w:abstractNumId w:val="1"/>
  </w:num>
  <w:num w:numId="16">
    <w:abstractNumId w:val="2"/>
  </w:num>
  <w:num w:numId="17">
    <w:abstractNumId w:val="27"/>
  </w:num>
  <w:num w:numId="18">
    <w:abstractNumId w:val="4"/>
  </w:num>
  <w:num w:numId="19">
    <w:abstractNumId w:val="3"/>
  </w:num>
  <w:num w:numId="20">
    <w:abstractNumId w:val="12"/>
  </w:num>
  <w:num w:numId="21">
    <w:abstractNumId w:val="6"/>
  </w:num>
  <w:num w:numId="22">
    <w:abstractNumId w:val="29"/>
  </w:num>
  <w:num w:numId="23">
    <w:abstractNumId w:val="30"/>
  </w:num>
  <w:num w:numId="24">
    <w:abstractNumId w:val="11"/>
  </w:num>
  <w:num w:numId="25">
    <w:abstractNumId w:val="5"/>
  </w:num>
  <w:num w:numId="26">
    <w:abstractNumId w:val="0"/>
  </w:num>
  <w:num w:numId="27">
    <w:abstractNumId w:val="10"/>
  </w:num>
  <w:num w:numId="28">
    <w:abstractNumId w:val="15"/>
  </w:num>
  <w:num w:numId="29">
    <w:abstractNumId w:val="23"/>
  </w:num>
  <w:num w:numId="30">
    <w:abstractNumId w:val="9"/>
  </w:num>
  <w:num w:numId="31">
    <w:abstractNumId w:val="24"/>
  </w:num>
  <w:num w:numId="32">
    <w:abstractNumId w:val="35"/>
  </w:num>
  <w:num w:numId="33">
    <w:abstractNumId w:val="33"/>
  </w:num>
  <w:num w:numId="34">
    <w:abstractNumId w:val="37"/>
  </w:num>
  <w:num w:numId="35">
    <w:abstractNumId w:val="13"/>
  </w:num>
  <w:num w:numId="36">
    <w:abstractNumId w:val="32"/>
  </w:num>
  <w:num w:numId="37">
    <w:abstractNumId w:val="16"/>
  </w:num>
  <w:num w:numId="38">
    <w:abstractNumId w:val="38"/>
  </w:num>
  <w:num w:numId="39">
    <w:abstractNumId w:val="20"/>
  </w:num>
  <w:num w:numId="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2BA2"/>
    <w:rsid w:val="00001829"/>
    <w:rsid w:val="000033E9"/>
    <w:rsid w:val="0001015B"/>
    <w:rsid w:val="00012542"/>
    <w:rsid w:val="0001297B"/>
    <w:rsid w:val="00024213"/>
    <w:rsid w:val="00024993"/>
    <w:rsid w:val="0002507A"/>
    <w:rsid w:val="00027F83"/>
    <w:rsid w:val="00031450"/>
    <w:rsid w:val="00031838"/>
    <w:rsid w:val="00034B5F"/>
    <w:rsid w:val="00044C1D"/>
    <w:rsid w:val="000451E5"/>
    <w:rsid w:val="00047901"/>
    <w:rsid w:val="00053514"/>
    <w:rsid w:val="0005515C"/>
    <w:rsid w:val="00067253"/>
    <w:rsid w:val="00072D74"/>
    <w:rsid w:val="00073E7B"/>
    <w:rsid w:val="00074A6A"/>
    <w:rsid w:val="0007653D"/>
    <w:rsid w:val="00076607"/>
    <w:rsid w:val="00076D7F"/>
    <w:rsid w:val="00083ADA"/>
    <w:rsid w:val="00084D9F"/>
    <w:rsid w:val="00091386"/>
    <w:rsid w:val="000933FF"/>
    <w:rsid w:val="00093734"/>
    <w:rsid w:val="00097212"/>
    <w:rsid w:val="00097494"/>
    <w:rsid w:val="000A352A"/>
    <w:rsid w:val="000B01CF"/>
    <w:rsid w:val="000B127C"/>
    <w:rsid w:val="000B61AB"/>
    <w:rsid w:val="000C1E2F"/>
    <w:rsid w:val="000D01CA"/>
    <w:rsid w:val="000D123E"/>
    <w:rsid w:val="000D2542"/>
    <w:rsid w:val="000D69AF"/>
    <w:rsid w:val="000D7F31"/>
    <w:rsid w:val="000E4385"/>
    <w:rsid w:val="000E5ABB"/>
    <w:rsid w:val="000F71DD"/>
    <w:rsid w:val="000F793C"/>
    <w:rsid w:val="0010165F"/>
    <w:rsid w:val="001025D2"/>
    <w:rsid w:val="00105C8D"/>
    <w:rsid w:val="00105E1C"/>
    <w:rsid w:val="00105EE8"/>
    <w:rsid w:val="00107B6E"/>
    <w:rsid w:val="00112784"/>
    <w:rsid w:val="0011336C"/>
    <w:rsid w:val="00116FDD"/>
    <w:rsid w:val="00117EEB"/>
    <w:rsid w:val="00120281"/>
    <w:rsid w:val="001246E7"/>
    <w:rsid w:val="001358E2"/>
    <w:rsid w:val="0014345E"/>
    <w:rsid w:val="001437E4"/>
    <w:rsid w:val="00143DB8"/>
    <w:rsid w:val="00151B03"/>
    <w:rsid w:val="00155887"/>
    <w:rsid w:val="00160E18"/>
    <w:rsid w:val="0016168D"/>
    <w:rsid w:val="00164C3C"/>
    <w:rsid w:val="00164D2F"/>
    <w:rsid w:val="0017390C"/>
    <w:rsid w:val="00175C58"/>
    <w:rsid w:val="0018235C"/>
    <w:rsid w:val="00183CCD"/>
    <w:rsid w:val="00184D3C"/>
    <w:rsid w:val="00190B1D"/>
    <w:rsid w:val="00194908"/>
    <w:rsid w:val="001966EF"/>
    <w:rsid w:val="001A4161"/>
    <w:rsid w:val="001A497F"/>
    <w:rsid w:val="001A6A5D"/>
    <w:rsid w:val="001A6FF9"/>
    <w:rsid w:val="001A7DC5"/>
    <w:rsid w:val="001B1440"/>
    <w:rsid w:val="001B5534"/>
    <w:rsid w:val="001C10E4"/>
    <w:rsid w:val="001C3AEB"/>
    <w:rsid w:val="001D4522"/>
    <w:rsid w:val="001D490D"/>
    <w:rsid w:val="001D70FF"/>
    <w:rsid w:val="001E0BFE"/>
    <w:rsid w:val="001E637B"/>
    <w:rsid w:val="001E63ED"/>
    <w:rsid w:val="001E69FC"/>
    <w:rsid w:val="001F3A40"/>
    <w:rsid w:val="00201880"/>
    <w:rsid w:val="002034F7"/>
    <w:rsid w:val="00203AE8"/>
    <w:rsid w:val="00214B83"/>
    <w:rsid w:val="00215AA8"/>
    <w:rsid w:val="00221A9A"/>
    <w:rsid w:val="0022304F"/>
    <w:rsid w:val="002252AA"/>
    <w:rsid w:val="00226631"/>
    <w:rsid w:val="00230B75"/>
    <w:rsid w:val="002363F7"/>
    <w:rsid w:val="00242ABD"/>
    <w:rsid w:val="002440A8"/>
    <w:rsid w:val="00246AC2"/>
    <w:rsid w:val="00251312"/>
    <w:rsid w:val="00257E8F"/>
    <w:rsid w:val="002644E8"/>
    <w:rsid w:val="00266CF1"/>
    <w:rsid w:val="00270BB9"/>
    <w:rsid w:val="00270D05"/>
    <w:rsid w:val="00272C76"/>
    <w:rsid w:val="00277434"/>
    <w:rsid w:val="00277A90"/>
    <w:rsid w:val="00283013"/>
    <w:rsid w:val="002834CE"/>
    <w:rsid w:val="0029136C"/>
    <w:rsid w:val="00293119"/>
    <w:rsid w:val="00296004"/>
    <w:rsid w:val="00297D9F"/>
    <w:rsid w:val="00297F43"/>
    <w:rsid w:val="002A0824"/>
    <w:rsid w:val="002A11E2"/>
    <w:rsid w:val="002A25DA"/>
    <w:rsid w:val="002A2A5D"/>
    <w:rsid w:val="002A6064"/>
    <w:rsid w:val="002A691D"/>
    <w:rsid w:val="002B316B"/>
    <w:rsid w:val="002C0E35"/>
    <w:rsid w:val="002C0EB4"/>
    <w:rsid w:val="002C19E1"/>
    <w:rsid w:val="002E133F"/>
    <w:rsid w:val="002E297F"/>
    <w:rsid w:val="002E52A5"/>
    <w:rsid w:val="002E5DA3"/>
    <w:rsid w:val="002F2ED6"/>
    <w:rsid w:val="003031FD"/>
    <w:rsid w:val="00303715"/>
    <w:rsid w:val="00321BA9"/>
    <w:rsid w:val="0032467E"/>
    <w:rsid w:val="003332B4"/>
    <w:rsid w:val="003369CD"/>
    <w:rsid w:val="00340DBD"/>
    <w:rsid w:val="00346359"/>
    <w:rsid w:val="003549A0"/>
    <w:rsid w:val="00354ED8"/>
    <w:rsid w:val="00357A63"/>
    <w:rsid w:val="00362D50"/>
    <w:rsid w:val="003801D3"/>
    <w:rsid w:val="00383BA3"/>
    <w:rsid w:val="00384CDA"/>
    <w:rsid w:val="0039000F"/>
    <w:rsid w:val="00391CFA"/>
    <w:rsid w:val="00397BFE"/>
    <w:rsid w:val="003A053B"/>
    <w:rsid w:val="003A1030"/>
    <w:rsid w:val="003A68E2"/>
    <w:rsid w:val="003A71E6"/>
    <w:rsid w:val="003B4AEC"/>
    <w:rsid w:val="003B506B"/>
    <w:rsid w:val="003B64FF"/>
    <w:rsid w:val="003B668C"/>
    <w:rsid w:val="003C0643"/>
    <w:rsid w:val="003C352D"/>
    <w:rsid w:val="003C402F"/>
    <w:rsid w:val="003D1C8C"/>
    <w:rsid w:val="003D5321"/>
    <w:rsid w:val="003F6BA5"/>
    <w:rsid w:val="003F7271"/>
    <w:rsid w:val="003F7CFD"/>
    <w:rsid w:val="0040376F"/>
    <w:rsid w:val="00407034"/>
    <w:rsid w:val="004179E8"/>
    <w:rsid w:val="004233E1"/>
    <w:rsid w:val="00423580"/>
    <w:rsid w:val="00423AEC"/>
    <w:rsid w:val="00435CFF"/>
    <w:rsid w:val="00440E2A"/>
    <w:rsid w:val="004429B7"/>
    <w:rsid w:val="00443109"/>
    <w:rsid w:val="00445F01"/>
    <w:rsid w:val="004534DA"/>
    <w:rsid w:val="00453F4F"/>
    <w:rsid w:val="0045680D"/>
    <w:rsid w:val="004677BE"/>
    <w:rsid w:val="0047057F"/>
    <w:rsid w:val="004818AD"/>
    <w:rsid w:val="00481E99"/>
    <w:rsid w:val="00482C03"/>
    <w:rsid w:val="00483929"/>
    <w:rsid w:val="0048415E"/>
    <w:rsid w:val="004877AC"/>
    <w:rsid w:val="00492B48"/>
    <w:rsid w:val="004A1606"/>
    <w:rsid w:val="004A6080"/>
    <w:rsid w:val="004A6460"/>
    <w:rsid w:val="004A6BD3"/>
    <w:rsid w:val="004B0654"/>
    <w:rsid w:val="004B1A9A"/>
    <w:rsid w:val="004B32D0"/>
    <w:rsid w:val="004B37D9"/>
    <w:rsid w:val="004B625A"/>
    <w:rsid w:val="004B6676"/>
    <w:rsid w:val="004C0AA3"/>
    <w:rsid w:val="004C17E7"/>
    <w:rsid w:val="004C3A2E"/>
    <w:rsid w:val="004D4DD9"/>
    <w:rsid w:val="004D697E"/>
    <w:rsid w:val="004D6EB9"/>
    <w:rsid w:val="004E2254"/>
    <w:rsid w:val="004E32B0"/>
    <w:rsid w:val="004E482A"/>
    <w:rsid w:val="004F6F7A"/>
    <w:rsid w:val="00501B22"/>
    <w:rsid w:val="00501FF4"/>
    <w:rsid w:val="0050726A"/>
    <w:rsid w:val="0050732D"/>
    <w:rsid w:val="00512A4D"/>
    <w:rsid w:val="005149F5"/>
    <w:rsid w:val="00521F77"/>
    <w:rsid w:val="00522A5A"/>
    <w:rsid w:val="00525A66"/>
    <w:rsid w:val="00527BD2"/>
    <w:rsid w:val="005359CC"/>
    <w:rsid w:val="00535E85"/>
    <w:rsid w:val="00545C40"/>
    <w:rsid w:val="00545D05"/>
    <w:rsid w:val="00547C67"/>
    <w:rsid w:val="00552357"/>
    <w:rsid w:val="005601D0"/>
    <w:rsid w:val="00563C77"/>
    <w:rsid w:val="005702D2"/>
    <w:rsid w:val="00570F7D"/>
    <w:rsid w:val="00572C37"/>
    <w:rsid w:val="00572C4B"/>
    <w:rsid w:val="00575D16"/>
    <w:rsid w:val="0058164A"/>
    <w:rsid w:val="005819D2"/>
    <w:rsid w:val="00586B20"/>
    <w:rsid w:val="00592D97"/>
    <w:rsid w:val="00597A23"/>
    <w:rsid w:val="005A524B"/>
    <w:rsid w:val="005A56FD"/>
    <w:rsid w:val="005A5DCD"/>
    <w:rsid w:val="005B6D94"/>
    <w:rsid w:val="005C61D1"/>
    <w:rsid w:val="005D3F85"/>
    <w:rsid w:val="005D456D"/>
    <w:rsid w:val="005E0DA9"/>
    <w:rsid w:val="005E60F1"/>
    <w:rsid w:val="005F0046"/>
    <w:rsid w:val="005F0322"/>
    <w:rsid w:val="005F69F8"/>
    <w:rsid w:val="0060169B"/>
    <w:rsid w:val="00602355"/>
    <w:rsid w:val="00603B2D"/>
    <w:rsid w:val="00630232"/>
    <w:rsid w:val="006309D5"/>
    <w:rsid w:val="00630B6B"/>
    <w:rsid w:val="006359D8"/>
    <w:rsid w:val="00636FCF"/>
    <w:rsid w:val="0063795E"/>
    <w:rsid w:val="006418D1"/>
    <w:rsid w:val="0064266E"/>
    <w:rsid w:val="0064558C"/>
    <w:rsid w:val="00662942"/>
    <w:rsid w:val="00662BA2"/>
    <w:rsid w:val="0066402D"/>
    <w:rsid w:val="0066527F"/>
    <w:rsid w:val="006730AE"/>
    <w:rsid w:val="0067399F"/>
    <w:rsid w:val="00675AAE"/>
    <w:rsid w:val="00681BB6"/>
    <w:rsid w:val="006852EE"/>
    <w:rsid w:val="00685473"/>
    <w:rsid w:val="00687DE3"/>
    <w:rsid w:val="006912BC"/>
    <w:rsid w:val="0069197E"/>
    <w:rsid w:val="00692F80"/>
    <w:rsid w:val="00695F3B"/>
    <w:rsid w:val="006A1632"/>
    <w:rsid w:val="006A7F3A"/>
    <w:rsid w:val="006B248D"/>
    <w:rsid w:val="006B55C2"/>
    <w:rsid w:val="006B6C97"/>
    <w:rsid w:val="006B7117"/>
    <w:rsid w:val="006B7907"/>
    <w:rsid w:val="006C234F"/>
    <w:rsid w:val="006C3B25"/>
    <w:rsid w:val="006C4AAA"/>
    <w:rsid w:val="006D090C"/>
    <w:rsid w:val="006D0B32"/>
    <w:rsid w:val="006E107B"/>
    <w:rsid w:val="006E3AFD"/>
    <w:rsid w:val="006E78E5"/>
    <w:rsid w:val="006F1006"/>
    <w:rsid w:val="006F197E"/>
    <w:rsid w:val="006F7A08"/>
    <w:rsid w:val="0070723E"/>
    <w:rsid w:val="007074E2"/>
    <w:rsid w:val="007100A9"/>
    <w:rsid w:val="007104D0"/>
    <w:rsid w:val="007121FB"/>
    <w:rsid w:val="00712851"/>
    <w:rsid w:val="00714D76"/>
    <w:rsid w:val="00716438"/>
    <w:rsid w:val="00724EE2"/>
    <w:rsid w:val="00726E1B"/>
    <w:rsid w:val="00741CF4"/>
    <w:rsid w:val="007448C2"/>
    <w:rsid w:val="00750057"/>
    <w:rsid w:val="00751EB2"/>
    <w:rsid w:val="00760AD0"/>
    <w:rsid w:val="00764A1C"/>
    <w:rsid w:val="00766D37"/>
    <w:rsid w:val="0077120F"/>
    <w:rsid w:val="007727C4"/>
    <w:rsid w:val="00784242"/>
    <w:rsid w:val="007847A1"/>
    <w:rsid w:val="007847B6"/>
    <w:rsid w:val="007912A4"/>
    <w:rsid w:val="00793FAA"/>
    <w:rsid w:val="00795107"/>
    <w:rsid w:val="007961DA"/>
    <w:rsid w:val="007A01D7"/>
    <w:rsid w:val="007A4DED"/>
    <w:rsid w:val="007A52DF"/>
    <w:rsid w:val="007B0B5D"/>
    <w:rsid w:val="007B26BE"/>
    <w:rsid w:val="007B3C75"/>
    <w:rsid w:val="007B4952"/>
    <w:rsid w:val="007D327B"/>
    <w:rsid w:val="007D414E"/>
    <w:rsid w:val="007D4468"/>
    <w:rsid w:val="007D5FF4"/>
    <w:rsid w:val="007E0AC5"/>
    <w:rsid w:val="007E676A"/>
    <w:rsid w:val="007F0569"/>
    <w:rsid w:val="007F0CFB"/>
    <w:rsid w:val="007F56BA"/>
    <w:rsid w:val="00805E8E"/>
    <w:rsid w:val="008154CF"/>
    <w:rsid w:val="00823E20"/>
    <w:rsid w:val="00830119"/>
    <w:rsid w:val="008352C9"/>
    <w:rsid w:val="008407C4"/>
    <w:rsid w:val="00847F6F"/>
    <w:rsid w:val="00850CCF"/>
    <w:rsid w:val="008526AA"/>
    <w:rsid w:val="008547ED"/>
    <w:rsid w:val="00871F6E"/>
    <w:rsid w:val="00874144"/>
    <w:rsid w:val="0087693E"/>
    <w:rsid w:val="0088382D"/>
    <w:rsid w:val="008839BF"/>
    <w:rsid w:val="00884287"/>
    <w:rsid w:val="00890408"/>
    <w:rsid w:val="008A6985"/>
    <w:rsid w:val="008B6874"/>
    <w:rsid w:val="008C64F3"/>
    <w:rsid w:val="008C6AD7"/>
    <w:rsid w:val="008D1839"/>
    <w:rsid w:val="008D715B"/>
    <w:rsid w:val="008E1A36"/>
    <w:rsid w:val="008E7F40"/>
    <w:rsid w:val="008F6C7E"/>
    <w:rsid w:val="00902AC7"/>
    <w:rsid w:val="00906A2C"/>
    <w:rsid w:val="00923AC5"/>
    <w:rsid w:val="00942BAD"/>
    <w:rsid w:val="009447EE"/>
    <w:rsid w:val="00944818"/>
    <w:rsid w:val="00944C4F"/>
    <w:rsid w:val="00954E1F"/>
    <w:rsid w:val="00956C81"/>
    <w:rsid w:val="00956DA3"/>
    <w:rsid w:val="0096555E"/>
    <w:rsid w:val="00965959"/>
    <w:rsid w:val="0097597D"/>
    <w:rsid w:val="009764CB"/>
    <w:rsid w:val="0097776C"/>
    <w:rsid w:val="0098318E"/>
    <w:rsid w:val="009846FA"/>
    <w:rsid w:val="009849AC"/>
    <w:rsid w:val="00991A44"/>
    <w:rsid w:val="0099630C"/>
    <w:rsid w:val="009A3A0C"/>
    <w:rsid w:val="009C2D26"/>
    <w:rsid w:val="009C40DC"/>
    <w:rsid w:val="009C7FBF"/>
    <w:rsid w:val="009D2923"/>
    <w:rsid w:val="009D3837"/>
    <w:rsid w:val="009D6BAC"/>
    <w:rsid w:val="009D76A7"/>
    <w:rsid w:val="009E51DA"/>
    <w:rsid w:val="009F39DD"/>
    <w:rsid w:val="00A020F6"/>
    <w:rsid w:val="00A11348"/>
    <w:rsid w:val="00A14802"/>
    <w:rsid w:val="00A1498C"/>
    <w:rsid w:val="00A16242"/>
    <w:rsid w:val="00A213E5"/>
    <w:rsid w:val="00A231E4"/>
    <w:rsid w:val="00A23B5B"/>
    <w:rsid w:val="00A268C1"/>
    <w:rsid w:val="00A37864"/>
    <w:rsid w:val="00A51300"/>
    <w:rsid w:val="00A571F2"/>
    <w:rsid w:val="00A63A33"/>
    <w:rsid w:val="00A678D9"/>
    <w:rsid w:val="00A70C39"/>
    <w:rsid w:val="00A762C3"/>
    <w:rsid w:val="00A80C7D"/>
    <w:rsid w:val="00A82227"/>
    <w:rsid w:val="00A835DC"/>
    <w:rsid w:val="00A854AB"/>
    <w:rsid w:val="00A87AE3"/>
    <w:rsid w:val="00A90F86"/>
    <w:rsid w:val="00A929E2"/>
    <w:rsid w:val="00A95572"/>
    <w:rsid w:val="00AA14D0"/>
    <w:rsid w:val="00AA2F55"/>
    <w:rsid w:val="00AA3426"/>
    <w:rsid w:val="00AA3E8F"/>
    <w:rsid w:val="00AB036F"/>
    <w:rsid w:val="00AB5146"/>
    <w:rsid w:val="00AB6BA7"/>
    <w:rsid w:val="00AC01AC"/>
    <w:rsid w:val="00AC19CD"/>
    <w:rsid w:val="00AC6939"/>
    <w:rsid w:val="00AE3415"/>
    <w:rsid w:val="00AE4595"/>
    <w:rsid w:val="00AE65C0"/>
    <w:rsid w:val="00AF4963"/>
    <w:rsid w:val="00AF54AB"/>
    <w:rsid w:val="00AF5815"/>
    <w:rsid w:val="00AF7C61"/>
    <w:rsid w:val="00B069A2"/>
    <w:rsid w:val="00B11D71"/>
    <w:rsid w:val="00B20E49"/>
    <w:rsid w:val="00B21B4A"/>
    <w:rsid w:val="00B31983"/>
    <w:rsid w:val="00B324EA"/>
    <w:rsid w:val="00B37F22"/>
    <w:rsid w:val="00B5449F"/>
    <w:rsid w:val="00B5544B"/>
    <w:rsid w:val="00B56CF4"/>
    <w:rsid w:val="00B63537"/>
    <w:rsid w:val="00B727C3"/>
    <w:rsid w:val="00B7512F"/>
    <w:rsid w:val="00B87A3B"/>
    <w:rsid w:val="00B91666"/>
    <w:rsid w:val="00B963F3"/>
    <w:rsid w:val="00B96D7F"/>
    <w:rsid w:val="00B97A6A"/>
    <w:rsid w:val="00BA03CC"/>
    <w:rsid w:val="00BA04B6"/>
    <w:rsid w:val="00BA11A6"/>
    <w:rsid w:val="00BC2DED"/>
    <w:rsid w:val="00BC42F6"/>
    <w:rsid w:val="00BC4A10"/>
    <w:rsid w:val="00BC6155"/>
    <w:rsid w:val="00BD3F75"/>
    <w:rsid w:val="00BD44A0"/>
    <w:rsid w:val="00BE1CB9"/>
    <w:rsid w:val="00BE6454"/>
    <w:rsid w:val="00C022F6"/>
    <w:rsid w:val="00C02D14"/>
    <w:rsid w:val="00C071F3"/>
    <w:rsid w:val="00C078BC"/>
    <w:rsid w:val="00C12317"/>
    <w:rsid w:val="00C13507"/>
    <w:rsid w:val="00C15C4E"/>
    <w:rsid w:val="00C15E5E"/>
    <w:rsid w:val="00C1749D"/>
    <w:rsid w:val="00C3320D"/>
    <w:rsid w:val="00C427F5"/>
    <w:rsid w:val="00C455F5"/>
    <w:rsid w:val="00C543B0"/>
    <w:rsid w:val="00C55590"/>
    <w:rsid w:val="00C63F82"/>
    <w:rsid w:val="00C8099B"/>
    <w:rsid w:val="00C81139"/>
    <w:rsid w:val="00C84F09"/>
    <w:rsid w:val="00C851FE"/>
    <w:rsid w:val="00C853C5"/>
    <w:rsid w:val="00C900A2"/>
    <w:rsid w:val="00C9054D"/>
    <w:rsid w:val="00C91499"/>
    <w:rsid w:val="00C95A48"/>
    <w:rsid w:val="00CB47B1"/>
    <w:rsid w:val="00CC2B99"/>
    <w:rsid w:val="00CC3429"/>
    <w:rsid w:val="00CD67EA"/>
    <w:rsid w:val="00CE0A0D"/>
    <w:rsid w:val="00CF1165"/>
    <w:rsid w:val="00CF2973"/>
    <w:rsid w:val="00CF4A50"/>
    <w:rsid w:val="00D0621A"/>
    <w:rsid w:val="00D07D06"/>
    <w:rsid w:val="00D116BF"/>
    <w:rsid w:val="00D12305"/>
    <w:rsid w:val="00D140C6"/>
    <w:rsid w:val="00D16234"/>
    <w:rsid w:val="00D217D2"/>
    <w:rsid w:val="00D2271F"/>
    <w:rsid w:val="00D26572"/>
    <w:rsid w:val="00D306AA"/>
    <w:rsid w:val="00D321CF"/>
    <w:rsid w:val="00D35F02"/>
    <w:rsid w:val="00D362A3"/>
    <w:rsid w:val="00D36A6C"/>
    <w:rsid w:val="00D36D49"/>
    <w:rsid w:val="00D62A09"/>
    <w:rsid w:val="00D6568F"/>
    <w:rsid w:val="00D65AF8"/>
    <w:rsid w:val="00D663CE"/>
    <w:rsid w:val="00D71238"/>
    <w:rsid w:val="00D74976"/>
    <w:rsid w:val="00D75333"/>
    <w:rsid w:val="00D804F4"/>
    <w:rsid w:val="00D82B7C"/>
    <w:rsid w:val="00D84FFA"/>
    <w:rsid w:val="00D86804"/>
    <w:rsid w:val="00D93F35"/>
    <w:rsid w:val="00DA49E5"/>
    <w:rsid w:val="00DA697A"/>
    <w:rsid w:val="00DB0CB7"/>
    <w:rsid w:val="00DB1AAA"/>
    <w:rsid w:val="00DB509B"/>
    <w:rsid w:val="00DB5D7F"/>
    <w:rsid w:val="00DC1ACC"/>
    <w:rsid w:val="00DC3BFF"/>
    <w:rsid w:val="00DC53B2"/>
    <w:rsid w:val="00DC5F40"/>
    <w:rsid w:val="00DC6FB5"/>
    <w:rsid w:val="00DD36F2"/>
    <w:rsid w:val="00DD3CE0"/>
    <w:rsid w:val="00DD4F82"/>
    <w:rsid w:val="00DE2602"/>
    <w:rsid w:val="00DE3D7B"/>
    <w:rsid w:val="00DE43DD"/>
    <w:rsid w:val="00DE6247"/>
    <w:rsid w:val="00DE79B6"/>
    <w:rsid w:val="00DF2D4F"/>
    <w:rsid w:val="00DF2EEC"/>
    <w:rsid w:val="00DF323E"/>
    <w:rsid w:val="00DF648F"/>
    <w:rsid w:val="00DF6A8D"/>
    <w:rsid w:val="00E02E97"/>
    <w:rsid w:val="00E16482"/>
    <w:rsid w:val="00E21C84"/>
    <w:rsid w:val="00E241A4"/>
    <w:rsid w:val="00E26413"/>
    <w:rsid w:val="00E27CF8"/>
    <w:rsid w:val="00E31FC1"/>
    <w:rsid w:val="00E33296"/>
    <w:rsid w:val="00E34751"/>
    <w:rsid w:val="00E34919"/>
    <w:rsid w:val="00E34EBB"/>
    <w:rsid w:val="00E37537"/>
    <w:rsid w:val="00E4387F"/>
    <w:rsid w:val="00E53CEF"/>
    <w:rsid w:val="00E71FB3"/>
    <w:rsid w:val="00E754AD"/>
    <w:rsid w:val="00E8439F"/>
    <w:rsid w:val="00E85D63"/>
    <w:rsid w:val="00EA2AC4"/>
    <w:rsid w:val="00EA5684"/>
    <w:rsid w:val="00EA5C6B"/>
    <w:rsid w:val="00EA6D3F"/>
    <w:rsid w:val="00EB0B6B"/>
    <w:rsid w:val="00EB346C"/>
    <w:rsid w:val="00EB4111"/>
    <w:rsid w:val="00EB4AE0"/>
    <w:rsid w:val="00EC2BBB"/>
    <w:rsid w:val="00EC41F9"/>
    <w:rsid w:val="00ED6ABF"/>
    <w:rsid w:val="00ED7076"/>
    <w:rsid w:val="00EE1479"/>
    <w:rsid w:val="00EE6455"/>
    <w:rsid w:val="00EF2086"/>
    <w:rsid w:val="00EF2F93"/>
    <w:rsid w:val="00EF3940"/>
    <w:rsid w:val="00F06201"/>
    <w:rsid w:val="00F2415E"/>
    <w:rsid w:val="00F24E5D"/>
    <w:rsid w:val="00F30C91"/>
    <w:rsid w:val="00F43C0D"/>
    <w:rsid w:val="00F46E85"/>
    <w:rsid w:val="00F47540"/>
    <w:rsid w:val="00F50220"/>
    <w:rsid w:val="00F54E8C"/>
    <w:rsid w:val="00F54E94"/>
    <w:rsid w:val="00F55924"/>
    <w:rsid w:val="00F5671A"/>
    <w:rsid w:val="00F60E94"/>
    <w:rsid w:val="00F77771"/>
    <w:rsid w:val="00F83F4F"/>
    <w:rsid w:val="00F84544"/>
    <w:rsid w:val="00F84E39"/>
    <w:rsid w:val="00F8683E"/>
    <w:rsid w:val="00F924E8"/>
    <w:rsid w:val="00F9296A"/>
    <w:rsid w:val="00FA509D"/>
    <w:rsid w:val="00FB0710"/>
    <w:rsid w:val="00FB1F45"/>
    <w:rsid w:val="00FB472A"/>
    <w:rsid w:val="00FB6FEB"/>
    <w:rsid w:val="00FC002B"/>
    <w:rsid w:val="00FC4EA3"/>
    <w:rsid w:val="00FD030C"/>
    <w:rsid w:val="00FD1A2E"/>
    <w:rsid w:val="00FD2A53"/>
    <w:rsid w:val="00FD66D9"/>
    <w:rsid w:val="00FE1BCD"/>
    <w:rsid w:val="00FE68F2"/>
    <w:rsid w:val="00FF58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562915-EF34-4E6F-B65B-21A0AFE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EF"/>
    <w:pPr>
      <w:overflowPunct w:val="0"/>
      <w:autoSpaceDE w:val="0"/>
      <w:autoSpaceDN w:val="0"/>
      <w:adjustRightInd w:val="0"/>
      <w:jc w:val="both"/>
      <w:textAlignment w:val="baseline"/>
    </w:pPr>
    <w:rPr>
      <w:rFonts w:ascii="Arial" w:hAnsi="Arial" w:cs="Arial"/>
      <w:color w:val="000000"/>
      <w:sz w:val="22"/>
      <w:szCs w:val="22"/>
    </w:rPr>
  </w:style>
  <w:style w:type="paragraph" w:styleId="Titre1">
    <w:name w:val="heading 1"/>
    <w:basedOn w:val="Normal"/>
    <w:next w:val="Normal"/>
    <w:link w:val="Titre1Car"/>
    <w:uiPriority w:val="9"/>
    <w:qFormat/>
    <w:rsid w:val="004818AD"/>
    <w:pPr>
      <w:keepNext/>
      <w:jc w:val="center"/>
      <w:outlineLvl w:val="0"/>
    </w:pPr>
    <w:rPr>
      <w:rFonts w:ascii="Cambria" w:hAnsi="Cambria" w:cs="Times New Roman"/>
      <w:b/>
      <w:bCs/>
      <w:kern w:val="32"/>
      <w:sz w:val="32"/>
      <w:szCs w:val="32"/>
    </w:rPr>
  </w:style>
  <w:style w:type="paragraph" w:styleId="Titre2">
    <w:name w:val="heading 2"/>
    <w:basedOn w:val="Normal"/>
    <w:next w:val="Normal"/>
    <w:link w:val="Titre2Car"/>
    <w:uiPriority w:val="9"/>
    <w:qFormat/>
    <w:rsid w:val="004818AD"/>
    <w:pPr>
      <w:keepNext/>
      <w:outlineLvl w:val="1"/>
    </w:pPr>
    <w:rPr>
      <w:rFonts w:ascii="Cambria" w:hAnsi="Cambria" w:cs="Times New Roman"/>
      <w:b/>
      <w:bCs/>
      <w:i/>
      <w:iCs/>
      <w:sz w:val="28"/>
      <w:szCs w:val="28"/>
    </w:rPr>
  </w:style>
  <w:style w:type="paragraph" w:styleId="Titre3">
    <w:name w:val="heading 3"/>
    <w:basedOn w:val="Normal"/>
    <w:next w:val="Normal"/>
    <w:link w:val="Titre3Car"/>
    <w:uiPriority w:val="9"/>
    <w:qFormat/>
    <w:rsid w:val="004818AD"/>
    <w:pPr>
      <w:keepNext/>
      <w:outlineLvl w:val="2"/>
    </w:pPr>
    <w:rPr>
      <w:rFonts w:ascii="Cambria" w:hAnsi="Cambria" w:cs="Times New Roman"/>
      <w:b/>
      <w:bCs/>
      <w:sz w:val="26"/>
      <w:szCs w:val="26"/>
    </w:rPr>
  </w:style>
  <w:style w:type="paragraph" w:styleId="Titre4">
    <w:name w:val="heading 4"/>
    <w:basedOn w:val="Normal"/>
    <w:next w:val="Normal"/>
    <w:link w:val="Titre4Car"/>
    <w:uiPriority w:val="9"/>
    <w:qFormat/>
    <w:rsid w:val="004818AD"/>
    <w:pPr>
      <w:keepNext/>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4818AD"/>
    <w:pPr>
      <w:keepNext/>
      <w:outlineLvl w:val="4"/>
    </w:pPr>
    <w:rPr>
      <w:rFonts w:ascii="Calibri" w:hAnsi="Calibri" w:cs="Times New Roman"/>
      <w:b/>
      <w:bCs/>
      <w:i/>
      <w:iCs/>
      <w:sz w:val="26"/>
      <w:szCs w:val="26"/>
    </w:rPr>
  </w:style>
  <w:style w:type="paragraph" w:styleId="Titre6">
    <w:name w:val="heading 6"/>
    <w:basedOn w:val="Normal"/>
    <w:next w:val="Normal"/>
    <w:link w:val="Titre6Car"/>
    <w:uiPriority w:val="9"/>
    <w:qFormat/>
    <w:rsid w:val="004818AD"/>
    <w:pPr>
      <w:keepNext/>
      <w:outlineLvl w:val="5"/>
    </w:pPr>
    <w:rPr>
      <w:rFonts w:ascii="Calibri" w:hAnsi="Calibri" w:cs="Times New Roman"/>
      <w:b/>
      <w:bCs/>
      <w:sz w:val="20"/>
      <w:szCs w:val="20"/>
    </w:rPr>
  </w:style>
  <w:style w:type="paragraph" w:styleId="Titre7">
    <w:name w:val="heading 7"/>
    <w:basedOn w:val="Normal"/>
    <w:next w:val="Normal"/>
    <w:link w:val="Titre7Car"/>
    <w:uiPriority w:val="9"/>
    <w:qFormat/>
    <w:rsid w:val="004818AD"/>
    <w:pPr>
      <w:keepNext/>
      <w:outlineLvl w:val="6"/>
    </w:pPr>
    <w:rPr>
      <w:rFonts w:ascii="Calibri" w:hAnsi="Calibri" w:cs="Times New Roman"/>
      <w:sz w:val="24"/>
      <w:szCs w:val="24"/>
    </w:rPr>
  </w:style>
  <w:style w:type="paragraph" w:styleId="Titre8">
    <w:name w:val="heading 8"/>
    <w:basedOn w:val="Normal"/>
    <w:next w:val="Normal"/>
    <w:link w:val="Titre8Car"/>
    <w:uiPriority w:val="9"/>
    <w:qFormat/>
    <w:rsid w:val="004818AD"/>
    <w:pPr>
      <w:keepNext/>
      <w:outlineLvl w:val="7"/>
    </w:pPr>
    <w:rPr>
      <w:rFonts w:ascii="Calibri" w:hAnsi="Calibri" w:cs="Times New Roman"/>
      <w:i/>
      <w:iCs/>
      <w:sz w:val="24"/>
      <w:szCs w:val="24"/>
    </w:rPr>
  </w:style>
  <w:style w:type="paragraph" w:styleId="Titre9">
    <w:name w:val="heading 9"/>
    <w:basedOn w:val="Normal"/>
    <w:next w:val="Normal"/>
    <w:link w:val="Titre9Car"/>
    <w:uiPriority w:val="9"/>
    <w:qFormat/>
    <w:rsid w:val="004818AD"/>
    <w:pPr>
      <w:keepNext/>
      <w:spacing w:before="120" w:after="120"/>
      <w:jc w:val="center"/>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0262"/>
    <w:rPr>
      <w:rFonts w:ascii="Cambria" w:eastAsia="Times New Roman" w:hAnsi="Cambria" w:cs="Times New Roman"/>
      <w:b/>
      <w:bCs/>
      <w:kern w:val="32"/>
      <w:sz w:val="32"/>
      <w:szCs w:val="32"/>
      <w:lang w:val="fr-FR"/>
    </w:rPr>
  </w:style>
  <w:style w:type="character" w:customStyle="1" w:styleId="Titre2Car">
    <w:name w:val="Titre 2 Car"/>
    <w:link w:val="Titre2"/>
    <w:uiPriority w:val="9"/>
    <w:semiHidden/>
    <w:rsid w:val="00B20262"/>
    <w:rPr>
      <w:rFonts w:ascii="Cambria" w:eastAsia="Times New Roman" w:hAnsi="Cambria" w:cs="Times New Roman"/>
      <w:b/>
      <w:bCs/>
      <w:i/>
      <w:iCs/>
      <w:sz w:val="28"/>
      <w:szCs w:val="28"/>
      <w:lang w:val="fr-FR"/>
    </w:rPr>
  </w:style>
  <w:style w:type="character" w:customStyle="1" w:styleId="Titre3Car">
    <w:name w:val="Titre 3 Car"/>
    <w:link w:val="Titre3"/>
    <w:uiPriority w:val="9"/>
    <w:semiHidden/>
    <w:rsid w:val="00B20262"/>
    <w:rPr>
      <w:rFonts w:ascii="Cambria" w:eastAsia="Times New Roman" w:hAnsi="Cambria" w:cs="Times New Roman"/>
      <w:b/>
      <w:bCs/>
      <w:sz w:val="26"/>
      <w:szCs w:val="26"/>
      <w:lang w:val="fr-FR"/>
    </w:rPr>
  </w:style>
  <w:style w:type="character" w:customStyle="1" w:styleId="Titre4Car">
    <w:name w:val="Titre 4 Car"/>
    <w:link w:val="Titre4"/>
    <w:uiPriority w:val="9"/>
    <w:semiHidden/>
    <w:rsid w:val="00B20262"/>
    <w:rPr>
      <w:rFonts w:ascii="Calibri" w:eastAsia="Times New Roman" w:hAnsi="Calibri" w:cs="Times New Roman"/>
      <w:b/>
      <w:bCs/>
      <w:sz w:val="28"/>
      <w:szCs w:val="28"/>
      <w:lang w:val="fr-FR"/>
    </w:rPr>
  </w:style>
  <w:style w:type="character" w:customStyle="1" w:styleId="Titre5Car">
    <w:name w:val="Titre 5 Car"/>
    <w:link w:val="Titre5"/>
    <w:uiPriority w:val="9"/>
    <w:semiHidden/>
    <w:rsid w:val="00B20262"/>
    <w:rPr>
      <w:rFonts w:ascii="Calibri" w:eastAsia="Times New Roman" w:hAnsi="Calibri" w:cs="Times New Roman"/>
      <w:b/>
      <w:bCs/>
      <w:i/>
      <w:iCs/>
      <w:sz w:val="26"/>
      <w:szCs w:val="26"/>
      <w:lang w:val="fr-FR"/>
    </w:rPr>
  </w:style>
  <w:style w:type="character" w:customStyle="1" w:styleId="Titre6Car">
    <w:name w:val="Titre 6 Car"/>
    <w:link w:val="Titre6"/>
    <w:uiPriority w:val="9"/>
    <w:semiHidden/>
    <w:rsid w:val="00B20262"/>
    <w:rPr>
      <w:rFonts w:ascii="Calibri" w:eastAsia="Times New Roman" w:hAnsi="Calibri" w:cs="Times New Roman"/>
      <w:b/>
      <w:bCs/>
      <w:lang w:val="fr-FR"/>
    </w:rPr>
  </w:style>
  <w:style w:type="character" w:customStyle="1" w:styleId="Titre7Car">
    <w:name w:val="Titre 7 Car"/>
    <w:link w:val="Titre7"/>
    <w:uiPriority w:val="9"/>
    <w:semiHidden/>
    <w:rsid w:val="00B20262"/>
    <w:rPr>
      <w:rFonts w:ascii="Calibri" w:eastAsia="Times New Roman" w:hAnsi="Calibri" w:cs="Times New Roman"/>
      <w:sz w:val="24"/>
      <w:szCs w:val="24"/>
      <w:lang w:val="fr-FR"/>
    </w:rPr>
  </w:style>
  <w:style w:type="character" w:customStyle="1" w:styleId="Titre8Car">
    <w:name w:val="Titre 8 Car"/>
    <w:link w:val="Titre8"/>
    <w:uiPriority w:val="9"/>
    <w:semiHidden/>
    <w:rsid w:val="00B20262"/>
    <w:rPr>
      <w:rFonts w:ascii="Calibri" w:eastAsia="Times New Roman" w:hAnsi="Calibri" w:cs="Times New Roman"/>
      <w:i/>
      <w:iCs/>
      <w:sz w:val="24"/>
      <w:szCs w:val="24"/>
      <w:lang w:val="fr-FR"/>
    </w:rPr>
  </w:style>
  <w:style w:type="character" w:customStyle="1" w:styleId="Titre9Car">
    <w:name w:val="Titre 9 Car"/>
    <w:link w:val="Titre9"/>
    <w:uiPriority w:val="9"/>
    <w:semiHidden/>
    <w:rsid w:val="00B20262"/>
    <w:rPr>
      <w:rFonts w:ascii="Cambria" w:eastAsia="Times New Roman" w:hAnsi="Cambria" w:cs="Times New Roman"/>
      <w:lang w:val="fr-FR"/>
    </w:rPr>
  </w:style>
  <w:style w:type="paragraph" w:styleId="En-tte">
    <w:name w:val="header"/>
    <w:aliases w:val="HeaPEM_Header"/>
    <w:basedOn w:val="Normal"/>
    <w:link w:val="En-tteCar"/>
    <w:uiPriority w:val="99"/>
    <w:rsid w:val="004818AD"/>
    <w:pPr>
      <w:tabs>
        <w:tab w:val="center" w:pos="4703"/>
        <w:tab w:val="right" w:pos="9406"/>
      </w:tabs>
    </w:pPr>
    <w:rPr>
      <w:rFonts w:cs="Times New Roman"/>
      <w:sz w:val="20"/>
      <w:szCs w:val="20"/>
    </w:rPr>
  </w:style>
  <w:style w:type="character" w:customStyle="1" w:styleId="En-tteCar">
    <w:name w:val="En-tête Car"/>
    <w:aliases w:val="HeaPEM_Header Car"/>
    <w:link w:val="En-tte"/>
    <w:uiPriority w:val="99"/>
    <w:rsid w:val="00B20262"/>
    <w:rPr>
      <w:rFonts w:ascii="Univers" w:hAnsi="Univers" w:cs="Univers"/>
      <w:lang w:val="fr-FR"/>
    </w:rPr>
  </w:style>
  <w:style w:type="paragraph" w:styleId="Pieddepage">
    <w:name w:val="footer"/>
    <w:basedOn w:val="Normal"/>
    <w:link w:val="PieddepageCar"/>
    <w:uiPriority w:val="99"/>
    <w:rsid w:val="004818AD"/>
    <w:pPr>
      <w:tabs>
        <w:tab w:val="center" w:pos="4703"/>
        <w:tab w:val="right" w:pos="9406"/>
      </w:tabs>
    </w:pPr>
    <w:rPr>
      <w:rFonts w:cs="Times New Roman"/>
      <w:sz w:val="20"/>
      <w:szCs w:val="20"/>
    </w:rPr>
  </w:style>
  <w:style w:type="character" w:customStyle="1" w:styleId="PieddepageCar">
    <w:name w:val="Pied de page Car"/>
    <w:link w:val="Pieddepage"/>
    <w:uiPriority w:val="99"/>
    <w:rsid w:val="00B20262"/>
    <w:rPr>
      <w:rFonts w:ascii="Univers" w:hAnsi="Univers" w:cs="Univers"/>
      <w:lang w:val="fr-FR"/>
    </w:rPr>
  </w:style>
  <w:style w:type="character" w:styleId="Numrodepage">
    <w:name w:val="page number"/>
    <w:basedOn w:val="Policepardfaut"/>
    <w:uiPriority w:val="99"/>
    <w:rsid w:val="004818AD"/>
  </w:style>
  <w:style w:type="paragraph" w:styleId="Titre">
    <w:name w:val="Title"/>
    <w:basedOn w:val="Normal"/>
    <w:link w:val="TitreCar"/>
    <w:uiPriority w:val="99"/>
    <w:qFormat/>
    <w:rsid w:val="004818AD"/>
    <w:pPr>
      <w:spacing w:before="840"/>
      <w:jc w:val="center"/>
    </w:pPr>
    <w:rPr>
      <w:rFonts w:ascii="Cambria" w:hAnsi="Cambria" w:cs="Times New Roman"/>
      <w:b/>
      <w:bCs/>
      <w:kern w:val="28"/>
      <w:sz w:val="32"/>
      <w:szCs w:val="32"/>
    </w:rPr>
  </w:style>
  <w:style w:type="character" w:customStyle="1" w:styleId="TitreCar">
    <w:name w:val="Titre Car"/>
    <w:link w:val="Titre"/>
    <w:uiPriority w:val="10"/>
    <w:rsid w:val="00B20262"/>
    <w:rPr>
      <w:rFonts w:ascii="Cambria" w:eastAsia="Times New Roman" w:hAnsi="Cambria" w:cs="Times New Roman"/>
      <w:b/>
      <w:bCs/>
      <w:kern w:val="28"/>
      <w:sz w:val="32"/>
      <w:szCs w:val="32"/>
      <w:lang w:val="fr-FR"/>
    </w:rPr>
  </w:style>
  <w:style w:type="paragraph" w:styleId="Corpsdetexte">
    <w:name w:val="Body Text"/>
    <w:basedOn w:val="Normal"/>
    <w:link w:val="CorpsdetexteCar"/>
    <w:uiPriority w:val="99"/>
    <w:rsid w:val="004818AD"/>
    <w:rPr>
      <w:rFonts w:cs="Times New Roman"/>
      <w:sz w:val="20"/>
      <w:szCs w:val="20"/>
    </w:rPr>
  </w:style>
  <w:style w:type="character" w:customStyle="1" w:styleId="CorpsdetexteCar">
    <w:name w:val="Corps de texte Car"/>
    <w:link w:val="Corpsdetexte"/>
    <w:uiPriority w:val="99"/>
    <w:semiHidden/>
    <w:rsid w:val="00B20262"/>
    <w:rPr>
      <w:rFonts w:ascii="Univers" w:hAnsi="Univers" w:cs="Univers"/>
      <w:lang w:val="fr-FR"/>
    </w:rPr>
  </w:style>
  <w:style w:type="paragraph" w:customStyle="1" w:styleId="Corpsdetexte21">
    <w:name w:val="Corps de texte 21"/>
    <w:basedOn w:val="Normal"/>
    <w:uiPriority w:val="99"/>
    <w:rsid w:val="004818AD"/>
    <w:pPr>
      <w:ind w:left="360"/>
    </w:pPr>
    <w:rPr>
      <w:sz w:val="24"/>
      <w:szCs w:val="24"/>
    </w:rPr>
  </w:style>
  <w:style w:type="character" w:customStyle="1" w:styleId="Lienhypertexte1">
    <w:name w:val="Lien hypertexte1"/>
    <w:uiPriority w:val="99"/>
    <w:rsid w:val="004818AD"/>
    <w:rPr>
      <w:color w:val="0000FF"/>
      <w:u w:val="single"/>
    </w:rPr>
  </w:style>
  <w:style w:type="paragraph" w:styleId="Notedebasdepage">
    <w:name w:val="footnote text"/>
    <w:basedOn w:val="Normal"/>
    <w:link w:val="NotedebasdepageCar"/>
    <w:uiPriority w:val="99"/>
    <w:semiHidden/>
    <w:rsid w:val="004818AD"/>
    <w:rPr>
      <w:rFonts w:cs="Times New Roman"/>
      <w:sz w:val="20"/>
      <w:szCs w:val="20"/>
    </w:rPr>
  </w:style>
  <w:style w:type="character" w:customStyle="1" w:styleId="NotedebasdepageCar">
    <w:name w:val="Note de bas de page Car"/>
    <w:link w:val="Notedebasdepage"/>
    <w:uiPriority w:val="99"/>
    <w:semiHidden/>
    <w:rsid w:val="00B20262"/>
    <w:rPr>
      <w:rFonts w:ascii="Univers" w:hAnsi="Univers" w:cs="Univers"/>
      <w:sz w:val="20"/>
      <w:szCs w:val="20"/>
      <w:lang w:val="fr-FR"/>
    </w:rPr>
  </w:style>
  <w:style w:type="character" w:styleId="Appelnotedebasdep">
    <w:name w:val="footnote reference"/>
    <w:uiPriority w:val="99"/>
    <w:semiHidden/>
    <w:rsid w:val="004818AD"/>
    <w:rPr>
      <w:vertAlign w:val="superscript"/>
    </w:rPr>
  </w:style>
  <w:style w:type="paragraph" w:customStyle="1" w:styleId="Retraitcorpsdetexte21">
    <w:name w:val="Retrait corps de texte 21"/>
    <w:basedOn w:val="Normal"/>
    <w:uiPriority w:val="99"/>
    <w:rsid w:val="004818AD"/>
    <w:pPr>
      <w:ind w:left="360"/>
    </w:pPr>
    <w:rPr>
      <w:sz w:val="24"/>
      <w:szCs w:val="24"/>
    </w:rPr>
  </w:style>
  <w:style w:type="paragraph" w:customStyle="1" w:styleId="Corpsdetexte22">
    <w:name w:val="Corps de texte 22"/>
    <w:basedOn w:val="Normal"/>
    <w:uiPriority w:val="99"/>
    <w:rsid w:val="004818AD"/>
    <w:pPr>
      <w:ind w:right="113"/>
      <w:jc w:val="center"/>
    </w:pPr>
    <w:rPr>
      <w:b/>
      <w:bCs/>
      <w:sz w:val="20"/>
      <w:szCs w:val="20"/>
    </w:rPr>
  </w:style>
  <w:style w:type="paragraph" w:customStyle="1" w:styleId="Corpsdetexte23">
    <w:name w:val="Corps de texte 23"/>
    <w:basedOn w:val="Normal"/>
    <w:uiPriority w:val="99"/>
    <w:rsid w:val="004818AD"/>
    <w:pPr>
      <w:tabs>
        <w:tab w:val="left" w:pos="540"/>
      </w:tabs>
      <w:ind w:left="540" w:hanging="540"/>
    </w:pPr>
  </w:style>
  <w:style w:type="paragraph" w:customStyle="1" w:styleId="arial">
    <w:name w:val="arial"/>
    <w:basedOn w:val="Pieddepage"/>
    <w:uiPriority w:val="99"/>
    <w:rsid w:val="004818AD"/>
    <w:pPr>
      <w:tabs>
        <w:tab w:val="clear" w:pos="4703"/>
        <w:tab w:val="left" w:pos="4770"/>
      </w:tabs>
      <w:spacing w:before="120"/>
    </w:pPr>
    <w:rPr>
      <w:rFonts w:cs="Arial"/>
      <w:b/>
      <w:bCs/>
    </w:rPr>
  </w:style>
  <w:style w:type="paragraph" w:customStyle="1" w:styleId="Corpsdetexte24">
    <w:name w:val="Corps de texte 24"/>
    <w:basedOn w:val="Normal"/>
    <w:uiPriority w:val="99"/>
    <w:rsid w:val="004818AD"/>
    <w:pPr>
      <w:tabs>
        <w:tab w:val="left" w:pos="720"/>
      </w:tabs>
      <w:ind w:left="720"/>
    </w:pPr>
    <w:rPr>
      <w:sz w:val="24"/>
      <w:szCs w:val="24"/>
    </w:rPr>
  </w:style>
  <w:style w:type="paragraph" w:styleId="NormalWeb">
    <w:name w:val="Normal (Web)"/>
    <w:basedOn w:val="Normal"/>
    <w:uiPriority w:val="99"/>
    <w:rsid w:val="004818AD"/>
    <w:pPr>
      <w:spacing w:before="100" w:after="100"/>
    </w:pPr>
    <w:rPr>
      <w:rFonts w:cs="Times New Roman"/>
      <w:sz w:val="24"/>
      <w:szCs w:val="24"/>
    </w:rPr>
  </w:style>
  <w:style w:type="character" w:customStyle="1" w:styleId="Accentuation1">
    <w:name w:val="Accentuation1"/>
    <w:uiPriority w:val="99"/>
    <w:rsid w:val="004818AD"/>
    <w:rPr>
      <w:i/>
      <w:iCs/>
    </w:rPr>
  </w:style>
  <w:style w:type="paragraph" w:customStyle="1" w:styleId="Corpsdetexte25">
    <w:name w:val="Corps de texte 25"/>
    <w:basedOn w:val="Normal"/>
    <w:uiPriority w:val="99"/>
    <w:rsid w:val="004818AD"/>
    <w:pPr>
      <w:tabs>
        <w:tab w:val="left" w:pos="720"/>
      </w:tabs>
      <w:ind w:left="720"/>
    </w:pPr>
    <w:rPr>
      <w:sz w:val="24"/>
      <w:szCs w:val="24"/>
    </w:rPr>
  </w:style>
  <w:style w:type="paragraph" w:customStyle="1" w:styleId="Retraitcorpsdetexte22">
    <w:name w:val="Retrait corps de texte 22"/>
    <w:basedOn w:val="Normal"/>
    <w:uiPriority w:val="99"/>
    <w:rsid w:val="004818AD"/>
    <w:pPr>
      <w:tabs>
        <w:tab w:val="left" w:pos="1080"/>
      </w:tabs>
      <w:ind w:left="630"/>
    </w:pPr>
  </w:style>
  <w:style w:type="paragraph" w:customStyle="1" w:styleId="Corpsdetexte26">
    <w:name w:val="Corps de texte 26"/>
    <w:basedOn w:val="Normal"/>
    <w:uiPriority w:val="99"/>
    <w:rsid w:val="004818AD"/>
    <w:pPr>
      <w:tabs>
        <w:tab w:val="left" w:pos="720"/>
      </w:tabs>
      <w:ind w:left="720"/>
    </w:pPr>
    <w:rPr>
      <w:sz w:val="24"/>
      <w:szCs w:val="24"/>
    </w:rPr>
  </w:style>
  <w:style w:type="paragraph" w:customStyle="1" w:styleId="Corpsdetexte27">
    <w:name w:val="Corps de texte 27"/>
    <w:basedOn w:val="Normal"/>
    <w:uiPriority w:val="99"/>
    <w:rsid w:val="004818AD"/>
    <w:pPr>
      <w:tabs>
        <w:tab w:val="left" w:pos="720"/>
      </w:tabs>
      <w:ind w:left="720"/>
    </w:pPr>
    <w:rPr>
      <w:sz w:val="24"/>
      <w:szCs w:val="24"/>
    </w:rPr>
  </w:style>
  <w:style w:type="paragraph" w:customStyle="1" w:styleId="Retraitcorpsdetexte23">
    <w:name w:val="Retrait corps de texte 23"/>
    <w:basedOn w:val="Normal"/>
    <w:uiPriority w:val="99"/>
    <w:rsid w:val="004818AD"/>
    <w:pPr>
      <w:tabs>
        <w:tab w:val="left" w:pos="720"/>
      </w:tabs>
      <w:ind w:left="720"/>
    </w:pPr>
  </w:style>
  <w:style w:type="paragraph" w:customStyle="1" w:styleId="Corpsdetexte28">
    <w:name w:val="Corps de texte 28"/>
    <w:basedOn w:val="Normal"/>
    <w:uiPriority w:val="99"/>
    <w:rsid w:val="004818AD"/>
    <w:rPr>
      <w:b/>
      <w:bCs/>
      <w:caps/>
      <w:sz w:val="24"/>
      <w:szCs w:val="24"/>
    </w:rPr>
  </w:style>
  <w:style w:type="paragraph" w:customStyle="1" w:styleId="Corpsdetexte29">
    <w:name w:val="Corps de texte 29"/>
    <w:basedOn w:val="Normal"/>
    <w:uiPriority w:val="99"/>
    <w:rsid w:val="004818AD"/>
    <w:rPr>
      <w:sz w:val="16"/>
      <w:szCs w:val="16"/>
    </w:rPr>
  </w:style>
  <w:style w:type="paragraph" w:customStyle="1" w:styleId="Corpsdetexte210">
    <w:name w:val="Corps de texte 210"/>
    <w:basedOn w:val="Normal"/>
    <w:uiPriority w:val="99"/>
    <w:rsid w:val="004818AD"/>
    <w:pPr>
      <w:ind w:firstLine="720"/>
    </w:pPr>
    <w:rPr>
      <w:rFonts w:cs="Times New Roman"/>
      <w:sz w:val="24"/>
      <w:szCs w:val="24"/>
    </w:rPr>
  </w:style>
  <w:style w:type="paragraph" w:customStyle="1" w:styleId="Corpsdetexte211">
    <w:name w:val="Corps de texte 211"/>
    <w:basedOn w:val="Normal"/>
    <w:uiPriority w:val="99"/>
    <w:rsid w:val="004818AD"/>
    <w:rPr>
      <w:rFonts w:cs="Times New Roman"/>
      <w:b/>
      <w:bCs/>
      <w:i/>
      <w:iCs/>
      <w:sz w:val="24"/>
      <w:szCs w:val="24"/>
    </w:rPr>
  </w:style>
  <w:style w:type="paragraph" w:customStyle="1" w:styleId="Corpsdetexte31">
    <w:name w:val="Corps de texte 31"/>
    <w:basedOn w:val="Normal"/>
    <w:uiPriority w:val="99"/>
    <w:rsid w:val="004818AD"/>
    <w:rPr>
      <w:rFonts w:cs="Times New Roman"/>
      <w:b/>
      <w:bCs/>
      <w:i/>
      <w:iCs/>
      <w:smallCaps/>
      <w:sz w:val="24"/>
      <w:szCs w:val="24"/>
    </w:rPr>
  </w:style>
  <w:style w:type="paragraph" w:customStyle="1" w:styleId="Retraitcorpsdetexte31">
    <w:name w:val="Retrait corps de texte 31"/>
    <w:basedOn w:val="Normal"/>
    <w:uiPriority w:val="99"/>
    <w:rsid w:val="004818AD"/>
    <w:pPr>
      <w:ind w:firstLine="720"/>
    </w:pPr>
    <w:rPr>
      <w:rFonts w:cs="Times New Roman"/>
      <w:sz w:val="24"/>
      <w:szCs w:val="24"/>
    </w:rPr>
  </w:style>
  <w:style w:type="paragraph" w:customStyle="1" w:styleId="Corpsdetexte212">
    <w:name w:val="Corps de texte 212"/>
    <w:basedOn w:val="Normal"/>
    <w:uiPriority w:val="99"/>
    <w:rsid w:val="004818AD"/>
    <w:pPr>
      <w:ind w:left="1080"/>
    </w:pPr>
    <w:rPr>
      <w:rFonts w:cs="Times New Roman"/>
      <w:sz w:val="24"/>
      <w:szCs w:val="24"/>
    </w:rPr>
  </w:style>
  <w:style w:type="paragraph" w:customStyle="1" w:styleId="Retraitcorpsdetexte24">
    <w:name w:val="Retrait corps de texte 24"/>
    <w:basedOn w:val="Normal"/>
    <w:uiPriority w:val="99"/>
    <w:rsid w:val="004818AD"/>
    <w:pPr>
      <w:tabs>
        <w:tab w:val="left" w:pos="720"/>
      </w:tabs>
      <w:ind w:left="720" w:hanging="720"/>
    </w:pPr>
  </w:style>
  <w:style w:type="paragraph" w:customStyle="1" w:styleId="Corpsdetexte213">
    <w:name w:val="Corps de texte 213"/>
    <w:basedOn w:val="Normal"/>
    <w:uiPriority w:val="99"/>
    <w:rsid w:val="004818AD"/>
    <w:pPr>
      <w:ind w:firstLine="360"/>
    </w:pPr>
    <w:rPr>
      <w:rFonts w:cs="Times New Roman"/>
      <w:sz w:val="24"/>
      <w:szCs w:val="24"/>
    </w:rPr>
  </w:style>
  <w:style w:type="paragraph" w:customStyle="1" w:styleId="Retraitcorpsdetexte25">
    <w:name w:val="Retrait corps de texte 25"/>
    <w:basedOn w:val="Normal"/>
    <w:uiPriority w:val="99"/>
    <w:rsid w:val="004818AD"/>
    <w:pPr>
      <w:ind w:left="360"/>
    </w:pPr>
    <w:rPr>
      <w:rFonts w:cs="Times New Roman"/>
      <w:sz w:val="24"/>
      <w:szCs w:val="24"/>
    </w:rPr>
  </w:style>
  <w:style w:type="paragraph" w:customStyle="1" w:styleId="Retraitcorpsdetexte32">
    <w:name w:val="Retrait corps de texte 32"/>
    <w:basedOn w:val="Normal"/>
    <w:uiPriority w:val="99"/>
    <w:rsid w:val="004818AD"/>
    <w:pPr>
      <w:ind w:left="360"/>
    </w:pPr>
    <w:rPr>
      <w:rFonts w:cs="Times New Roman"/>
      <w:sz w:val="24"/>
      <w:szCs w:val="24"/>
    </w:rPr>
  </w:style>
  <w:style w:type="paragraph" w:customStyle="1" w:styleId="Corpsdetexte214">
    <w:name w:val="Corps de texte 214"/>
    <w:basedOn w:val="Normal"/>
    <w:uiPriority w:val="99"/>
    <w:rsid w:val="004818AD"/>
    <w:rPr>
      <w:sz w:val="24"/>
      <w:szCs w:val="24"/>
    </w:rPr>
  </w:style>
  <w:style w:type="paragraph" w:customStyle="1" w:styleId="Corpsdetexte215">
    <w:name w:val="Corps de texte 215"/>
    <w:basedOn w:val="Normal"/>
    <w:uiPriority w:val="99"/>
    <w:rsid w:val="004818AD"/>
    <w:pPr>
      <w:tabs>
        <w:tab w:val="left" w:pos="900"/>
      </w:tabs>
      <w:spacing w:before="120"/>
      <w:ind w:left="900" w:hanging="396"/>
    </w:pPr>
  </w:style>
  <w:style w:type="paragraph" w:customStyle="1" w:styleId="Corpsdetexte216">
    <w:name w:val="Corps de texte 216"/>
    <w:basedOn w:val="Normal"/>
    <w:uiPriority w:val="99"/>
    <w:rsid w:val="004818AD"/>
    <w:pPr>
      <w:ind w:left="720" w:hanging="720"/>
    </w:pPr>
    <w:rPr>
      <w:rFonts w:ascii="Papyrus" w:hAnsi="Papyrus" w:cs="Papyrus"/>
      <w:b/>
      <w:bCs/>
      <w:sz w:val="28"/>
      <w:szCs w:val="28"/>
    </w:rPr>
  </w:style>
  <w:style w:type="paragraph" w:customStyle="1" w:styleId="Retraitcorpsdetexte26">
    <w:name w:val="Retrait corps de texte 26"/>
    <w:basedOn w:val="Normal"/>
    <w:uiPriority w:val="99"/>
    <w:rsid w:val="004818AD"/>
    <w:pPr>
      <w:ind w:firstLine="360"/>
    </w:pPr>
    <w:rPr>
      <w:rFonts w:cs="Times New Roman"/>
    </w:rPr>
  </w:style>
  <w:style w:type="paragraph" w:customStyle="1" w:styleId="Corpsdetexte217">
    <w:name w:val="Corps de texte 217"/>
    <w:basedOn w:val="Normal"/>
    <w:uiPriority w:val="99"/>
    <w:rsid w:val="004818AD"/>
    <w:pPr>
      <w:tabs>
        <w:tab w:val="left" w:pos="5760"/>
        <w:tab w:val="left" w:pos="7920"/>
      </w:tabs>
      <w:ind w:right="4320"/>
    </w:pPr>
  </w:style>
  <w:style w:type="paragraph" w:customStyle="1" w:styleId="Corpsdetexte218">
    <w:name w:val="Corps de texte 218"/>
    <w:basedOn w:val="Normal"/>
    <w:uiPriority w:val="99"/>
    <w:rsid w:val="004818AD"/>
    <w:rPr>
      <w:sz w:val="24"/>
      <w:szCs w:val="24"/>
    </w:rPr>
  </w:style>
  <w:style w:type="paragraph" w:customStyle="1" w:styleId="Corpsdetexte219">
    <w:name w:val="Corps de texte 219"/>
    <w:basedOn w:val="Normal"/>
    <w:uiPriority w:val="99"/>
    <w:rsid w:val="004818AD"/>
    <w:pPr>
      <w:tabs>
        <w:tab w:val="left" w:pos="720"/>
      </w:tabs>
      <w:ind w:left="720" w:hanging="720"/>
    </w:pPr>
    <w:rPr>
      <w:rFonts w:ascii="Papyrus" w:hAnsi="Papyrus" w:cs="Papyrus"/>
      <w:b/>
      <w:bCs/>
      <w:i/>
      <w:iCs/>
      <w:sz w:val="28"/>
      <w:szCs w:val="28"/>
    </w:rPr>
  </w:style>
  <w:style w:type="paragraph" w:customStyle="1" w:styleId="Corpsdetexte220">
    <w:name w:val="Corps de texte 220"/>
    <w:basedOn w:val="Normal"/>
    <w:uiPriority w:val="99"/>
    <w:rsid w:val="004818AD"/>
    <w:pPr>
      <w:ind w:left="720" w:hanging="12"/>
    </w:pPr>
  </w:style>
  <w:style w:type="paragraph" w:customStyle="1" w:styleId="Corpsdetexte221">
    <w:name w:val="Corps de texte 221"/>
    <w:basedOn w:val="Normal"/>
    <w:uiPriority w:val="99"/>
    <w:rsid w:val="004818AD"/>
    <w:pPr>
      <w:tabs>
        <w:tab w:val="left" w:pos="720"/>
      </w:tabs>
      <w:ind w:left="720" w:hanging="720"/>
    </w:pPr>
    <w:rPr>
      <w:rFonts w:ascii="Papyrus" w:hAnsi="Papyrus" w:cs="Papyrus"/>
      <w:b/>
      <w:bCs/>
      <w:sz w:val="32"/>
      <w:szCs w:val="32"/>
    </w:rPr>
  </w:style>
  <w:style w:type="paragraph" w:customStyle="1" w:styleId="Retraitcorpsdetexte27">
    <w:name w:val="Retrait corps de texte 27"/>
    <w:basedOn w:val="Normal"/>
    <w:uiPriority w:val="99"/>
    <w:rsid w:val="004818AD"/>
    <w:pPr>
      <w:tabs>
        <w:tab w:val="left" w:pos="720"/>
      </w:tabs>
      <w:ind w:left="630" w:hanging="630"/>
    </w:pPr>
    <w:rPr>
      <w:rFonts w:ascii="Papyrus" w:hAnsi="Papyrus" w:cs="Papyrus"/>
      <w:b/>
      <w:bCs/>
      <w:sz w:val="32"/>
      <w:szCs w:val="32"/>
    </w:rPr>
  </w:style>
  <w:style w:type="paragraph" w:customStyle="1" w:styleId="Corpsdetexte222">
    <w:name w:val="Corps de texte 222"/>
    <w:basedOn w:val="Normal"/>
    <w:uiPriority w:val="99"/>
    <w:rsid w:val="004818AD"/>
    <w:pPr>
      <w:tabs>
        <w:tab w:val="left" w:pos="504"/>
      </w:tabs>
      <w:ind w:left="540" w:hanging="540"/>
    </w:pPr>
    <w:rPr>
      <w:i/>
      <w:iCs/>
    </w:rPr>
  </w:style>
  <w:style w:type="paragraph" w:customStyle="1" w:styleId="Corpsdetexte223">
    <w:name w:val="Corps de texte 223"/>
    <w:basedOn w:val="Normal"/>
    <w:uiPriority w:val="99"/>
    <w:rsid w:val="004818AD"/>
    <w:pPr>
      <w:ind w:left="360"/>
    </w:pPr>
    <w:rPr>
      <w:rFonts w:cs="Times New Roman"/>
      <w:sz w:val="24"/>
      <w:szCs w:val="24"/>
    </w:rPr>
  </w:style>
  <w:style w:type="paragraph" w:customStyle="1" w:styleId="Corpsdetexte32">
    <w:name w:val="Corps de texte 32"/>
    <w:basedOn w:val="Normal"/>
    <w:uiPriority w:val="99"/>
    <w:rsid w:val="004818AD"/>
    <w:rPr>
      <w:rFonts w:cs="Times New Roman"/>
    </w:rPr>
  </w:style>
  <w:style w:type="paragraph" w:customStyle="1" w:styleId="Corpsdetexte224">
    <w:name w:val="Corps de texte 224"/>
    <w:basedOn w:val="Normal"/>
    <w:uiPriority w:val="99"/>
    <w:rsid w:val="004818AD"/>
    <w:rPr>
      <w:rFonts w:cs="Times New Roman"/>
      <w:b/>
      <w:bCs/>
      <w:smallCaps/>
      <w:sz w:val="24"/>
      <w:szCs w:val="24"/>
      <w:u w:val="single"/>
    </w:rPr>
  </w:style>
  <w:style w:type="paragraph" w:customStyle="1" w:styleId="Corpsdetexte225">
    <w:name w:val="Corps de texte 225"/>
    <w:basedOn w:val="Normal"/>
    <w:uiPriority w:val="99"/>
    <w:rsid w:val="004818AD"/>
    <w:rPr>
      <w:b/>
      <w:bCs/>
      <w:i/>
      <w:iCs/>
    </w:rPr>
  </w:style>
  <w:style w:type="paragraph" w:customStyle="1" w:styleId="Corpsdetexte226">
    <w:name w:val="Corps de texte 226"/>
    <w:basedOn w:val="Normal"/>
    <w:uiPriority w:val="99"/>
    <w:rsid w:val="004818AD"/>
    <w:rPr>
      <w:rFonts w:cs="Times New Roman"/>
      <w:sz w:val="24"/>
      <w:szCs w:val="24"/>
    </w:rPr>
  </w:style>
  <w:style w:type="paragraph" w:customStyle="1" w:styleId="Corpsdetexte227">
    <w:name w:val="Corps de texte 227"/>
    <w:basedOn w:val="Normal"/>
    <w:uiPriority w:val="99"/>
    <w:rsid w:val="004818AD"/>
    <w:pPr>
      <w:ind w:left="360" w:hanging="360"/>
    </w:pPr>
    <w:rPr>
      <w:rFonts w:cs="Times New Roman"/>
      <w:b/>
      <w:bCs/>
      <w:smallCaps/>
      <w:sz w:val="24"/>
      <w:szCs w:val="24"/>
    </w:rPr>
  </w:style>
  <w:style w:type="paragraph" w:customStyle="1" w:styleId="Retraitcorpsdetexte28">
    <w:name w:val="Retrait corps de texte 28"/>
    <w:basedOn w:val="Normal"/>
    <w:uiPriority w:val="99"/>
    <w:rsid w:val="004818AD"/>
    <w:pPr>
      <w:ind w:left="2160" w:hanging="2160"/>
    </w:pPr>
    <w:rPr>
      <w:rFonts w:cs="Times New Roman"/>
      <w:sz w:val="24"/>
      <w:szCs w:val="24"/>
    </w:rPr>
  </w:style>
  <w:style w:type="paragraph" w:customStyle="1" w:styleId="Retraitcorpsdetexte33">
    <w:name w:val="Retrait corps de texte 33"/>
    <w:basedOn w:val="Normal"/>
    <w:uiPriority w:val="99"/>
    <w:rsid w:val="004818AD"/>
    <w:pPr>
      <w:ind w:left="360"/>
    </w:pPr>
    <w:rPr>
      <w:rFonts w:cs="Times New Roman"/>
      <w:sz w:val="24"/>
      <w:szCs w:val="24"/>
    </w:rPr>
  </w:style>
  <w:style w:type="paragraph" w:styleId="Listepuces">
    <w:name w:val="List Bullet"/>
    <w:basedOn w:val="Normal"/>
    <w:uiPriority w:val="99"/>
    <w:rsid w:val="004818AD"/>
    <w:pPr>
      <w:tabs>
        <w:tab w:val="left" w:pos="360"/>
      </w:tabs>
      <w:ind w:left="360" w:hanging="360"/>
    </w:pPr>
  </w:style>
  <w:style w:type="paragraph" w:styleId="Sous-titre">
    <w:name w:val="Subtitle"/>
    <w:basedOn w:val="Normal"/>
    <w:link w:val="Sous-titreCar"/>
    <w:uiPriority w:val="11"/>
    <w:qFormat/>
    <w:rsid w:val="004818AD"/>
    <w:pPr>
      <w:tabs>
        <w:tab w:val="left" w:pos="360"/>
      </w:tabs>
    </w:pPr>
    <w:rPr>
      <w:rFonts w:ascii="Cambria" w:hAnsi="Cambria" w:cs="Times New Roman"/>
      <w:sz w:val="24"/>
      <w:szCs w:val="24"/>
    </w:rPr>
  </w:style>
  <w:style w:type="character" w:customStyle="1" w:styleId="Sous-titreCar">
    <w:name w:val="Sous-titre Car"/>
    <w:link w:val="Sous-titre"/>
    <w:uiPriority w:val="11"/>
    <w:rsid w:val="00B20262"/>
    <w:rPr>
      <w:rFonts w:ascii="Cambria" w:eastAsia="Times New Roman" w:hAnsi="Cambria" w:cs="Times New Roman"/>
      <w:sz w:val="24"/>
      <w:szCs w:val="24"/>
      <w:lang w:val="fr-FR"/>
    </w:rPr>
  </w:style>
  <w:style w:type="character" w:customStyle="1" w:styleId="display">
    <w:name w:val="display"/>
    <w:basedOn w:val="Policepardfaut"/>
    <w:uiPriority w:val="99"/>
    <w:rsid w:val="004818AD"/>
  </w:style>
  <w:style w:type="paragraph" w:customStyle="1" w:styleId="Corpsdetexte228">
    <w:name w:val="Corps de texte 228"/>
    <w:basedOn w:val="Normal"/>
    <w:uiPriority w:val="99"/>
    <w:rsid w:val="004818AD"/>
    <w:pPr>
      <w:jc w:val="center"/>
    </w:pPr>
    <w:rPr>
      <w:sz w:val="20"/>
      <w:szCs w:val="20"/>
    </w:rPr>
  </w:style>
  <w:style w:type="paragraph" w:customStyle="1" w:styleId="Corpsdetexte229">
    <w:name w:val="Corps de texte 229"/>
    <w:basedOn w:val="Normal"/>
    <w:uiPriority w:val="99"/>
    <w:rsid w:val="004818AD"/>
    <w:pPr>
      <w:jc w:val="center"/>
    </w:pPr>
    <w:rPr>
      <w:rFonts w:cs="Times New Roman"/>
      <w:b/>
      <w:bCs/>
    </w:rPr>
  </w:style>
  <w:style w:type="paragraph" w:customStyle="1" w:styleId="CORPSMargeAltM">
    <w:name w:val="CORPS_Marge(Alt+M)"/>
    <w:basedOn w:val="Normal"/>
    <w:uiPriority w:val="99"/>
    <w:rsid w:val="004818AD"/>
    <w:pPr>
      <w:widowControl w:val="0"/>
      <w:spacing w:after="240"/>
    </w:pPr>
  </w:style>
  <w:style w:type="character" w:styleId="lev">
    <w:name w:val="Strong"/>
    <w:uiPriority w:val="22"/>
    <w:qFormat/>
    <w:rsid w:val="004818AD"/>
    <w:rPr>
      <w:b/>
      <w:bCs/>
    </w:rPr>
  </w:style>
  <w:style w:type="character" w:styleId="Accentuation">
    <w:name w:val="Emphasis"/>
    <w:uiPriority w:val="20"/>
    <w:qFormat/>
    <w:rsid w:val="004818AD"/>
    <w:rPr>
      <w:i/>
      <w:iCs/>
    </w:rPr>
  </w:style>
  <w:style w:type="character" w:customStyle="1" w:styleId="style101">
    <w:name w:val="style101"/>
    <w:uiPriority w:val="99"/>
    <w:rsid w:val="004818AD"/>
    <w:rPr>
      <w:color w:val="5A5A5A"/>
    </w:rPr>
  </w:style>
  <w:style w:type="paragraph" w:styleId="Corpsdetexte2">
    <w:name w:val="Body Text 2"/>
    <w:basedOn w:val="Normal"/>
    <w:link w:val="Corpsdetexte2Car"/>
    <w:uiPriority w:val="99"/>
    <w:rsid w:val="004818AD"/>
    <w:rPr>
      <w:rFonts w:cs="Times New Roman"/>
      <w:sz w:val="20"/>
      <w:szCs w:val="20"/>
    </w:rPr>
  </w:style>
  <w:style w:type="character" w:customStyle="1" w:styleId="Corpsdetexte2Car">
    <w:name w:val="Corps de texte 2 Car"/>
    <w:link w:val="Corpsdetexte2"/>
    <w:uiPriority w:val="99"/>
    <w:semiHidden/>
    <w:rsid w:val="00B20262"/>
    <w:rPr>
      <w:rFonts w:ascii="Univers" w:hAnsi="Univers" w:cs="Univers"/>
      <w:lang w:val="fr-FR"/>
    </w:rPr>
  </w:style>
  <w:style w:type="paragraph" w:styleId="Corpsdetexte3">
    <w:name w:val="Body Text 3"/>
    <w:basedOn w:val="Normal"/>
    <w:link w:val="Corpsdetexte3Car"/>
    <w:uiPriority w:val="99"/>
    <w:rsid w:val="004818AD"/>
    <w:rPr>
      <w:rFonts w:cs="Times New Roman"/>
      <w:sz w:val="16"/>
      <w:szCs w:val="16"/>
    </w:rPr>
  </w:style>
  <w:style w:type="character" w:customStyle="1" w:styleId="Corpsdetexte3Car">
    <w:name w:val="Corps de texte 3 Car"/>
    <w:link w:val="Corpsdetexte3"/>
    <w:uiPriority w:val="99"/>
    <w:semiHidden/>
    <w:rsid w:val="00B20262"/>
    <w:rPr>
      <w:rFonts w:ascii="Univers" w:hAnsi="Univers" w:cs="Univers"/>
      <w:sz w:val="16"/>
      <w:szCs w:val="16"/>
      <w:lang w:val="fr-FR"/>
    </w:rPr>
  </w:style>
  <w:style w:type="paragraph" w:styleId="Textedebulles">
    <w:name w:val="Balloon Text"/>
    <w:basedOn w:val="Normal"/>
    <w:link w:val="TextedebullesCar"/>
    <w:uiPriority w:val="99"/>
    <w:semiHidden/>
    <w:rsid w:val="00662BA2"/>
    <w:rPr>
      <w:rFonts w:ascii="Times New Roman" w:hAnsi="Times New Roman" w:cs="Times New Roman"/>
      <w:sz w:val="0"/>
      <w:szCs w:val="0"/>
    </w:rPr>
  </w:style>
  <w:style w:type="character" w:customStyle="1" w:styleId="TextedebullesCar">
    <w:name w:val="Texte de bulles Car"/>
    <w:link w:val="Textedebulles"/>
    <w:uiPriority w:val="99"/>
    <w:semiHidden/>
    <w:rsid w:val="00B20262"/>
    <w:rPr>
      <w:sz w:val="0"/>
      <w:szCs w:val="0"/>
      <w:lang w:val="fr-FR"/>
    </w:rPr>
  </w:style>
  <w:style w:type="character" w:styleId="Marquedecommentaire">
    <w:name w:val="annotation reference"/>
    <w:uiPriority w:val="99"/>
    <w:semiHidden/>
    <w:rsid w:val="00662BA2"/>
    <w:rPr>
      <w:sz w:val="16"/>
      <w:szCs w:val="16"/>
    </w:rPr>
  </w:style>
  <w:style w:type="paragraph" w:styleId="Commentaire">
    <w:name w:val="annotation text"/>
    <w:basedOn w:val="Normal"/>
    <w:link w:val="CommentaireCar"/>
    <w:uiPriority w:val="99"/>
    <w:semiHidden/>
    <w:rsid w:val="00662BA2"/>
    <w:rPr>
      <w:rFonts w:cs="Times New Roman"/>
      <w:sz w:val="20"/>
      <w:szCs w:val="20"/>
    </w:rPr>
  </w:style>
  <w:style w:type="character" w:customStyle="1" w:styleId="CommentaireCar">
    <w:name w:val="Commentaire Car"/>
    <w:link w:val="Commentaire"/>
    <w:uiPriority w:val="99"/>
    <w:semiHidden/>
    <w:rsid w:val="00B20262"/>
    <w:rPr>
      <w:rFonts w:ascii="Univers" w:hAnsi="Univers" w:cs="Univers"/>
      <w:sz w:val="20"/>
      <w:szCs w:val="20"/>
      <w:lang w:val="fr-FR"/>
    </w:rPr>
  </w:style>
  <w:style w:type="paragraph" w:styleId="Objetducommentaire">
    <w:name w:val="annotation subject"/>
    <w:basedOn w:val="Commentaire"/>
    <w:next w:val="Commentaire"/>
    <w:link w:val="ObjetducommentaireCar"/>
    <w:uiPriority w:val="99"/>
    <w:semiHidden/>
    <w:rsid w:val="00662BA2"/>
    <w:rPr>
      <w:b/>
      <w:bCs/>
    </w:rPr>
  </w:style>
  <w:style w:type="character" w:customStyle="1" w:styleId="ObjetducommentaireCar">
    <w:name w:val="Objet du commentaire Car"/>
    <w:link w:val="Objetducommentaire"/>
    <w:uiPriority w:val="99"/>
    <w:semiHidden/>
    <w:rsid w:val="00B20262"/>
    <w:rPr>
      <w:rFonts w:ascii="Univers" w:hAnsi="Univers" w:cs="Univers"/>
      <w:b/>
      <w:bCs/>
      <w:sz w:val="20"/>
      <w:szCs w:val="20"/>
      <w:lang w:val="fr-FR"/>
    </w:rPr>
  </w:style>
  <w:style w:type="paragraph" w:styleId="Paragraphedeliste">
    <w:name w:val="List Paragraph"/>
    <w:basedOn w:val="Normal"/>
    <w:uiPriority w:val="34"/>
    <w:qFormat/>
    <w:rsid w:val="00E754AD"/>
    <w:pPr>
      <w:ind w:left="720"/>
      <w:contextualSpacing/>
    </w:pPr>
  </w:style>
  <w:style w:type="character" w:customStyle="1" w:styleId="nobr1">
    <w:name w:val="nobr1"/>
    <w:basedOn w:val="Policepardfaut"/>
    <w:rsid w:val="005F69F8"/>
  </w:style>
  <w:style w:type="character" w:styleId="Lienhypertexte">
    <w:name w:val="Hyperlink"/>
    <w:uiPriority w:val="99"/>
    <w:unhideWhenUsed/>
    <w:rsid w:val="008C6AD7"/>
    <w:rPr>
      <w:color w:val="003366"/>
      <w:u w:val="single"/>
    </w:rPr>
  </w:style>
  <w:style w:type="table" w:styleId="Grilledutableau">
    <w:name w:val="Table Grid"/>
    <w:basedOn w:val="TableauNormal"/>
    <w:uiPriority w:val="59"/>
    <w:rsid w:val="00771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07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Times New Roman"/>
      <w:sz w:val="20"/>
      <w:szCs w:val="20"/>
      <w:lang w:eastAsia="fr-FR"/>
    </w:rPr>
  </w:style>
  <w:style w:type="character" w:customStyle="1" w:styleId="PrformatHTMLCar">
    <w:name w:val="Préformaté HTML Car"/>
    <w:link w:val="PrformatHTML"/>
    <w:uiPriority w:val="99"/>
    <w:rsid w:val="00076607"/>
    <w:rPr>
      <w:rFonts w:ascii="Courier New" w:hAnsi="Courier New" w:cs="Courier New"/>
      <w:lang w:val="fr-FR" w:eastAsia="fr-FR"/>
    </w:rPr>
  </w:style>
  <w:style w:type="paragraph" w:customStyle="1" w:styleId="Default">
    <w:name w:val="Default"/>
    <w:rsid w:val="00662942"/>
    <w:pPr>
      <w:autoSpaceDE w:val="0"/>
      <w:autoSpaceDN w:val="0"/>
      <w:adjustRightInd w:val="0"/>
    </w:pPr>
    <w:rPr>
      <w:rFonts w:ascii="Franklin Gothic Book" w:eastAsia="Calibri" w:hAnsi="Franklin Gothic Book" w:cs="Franklin Gothic Book"/>
      <w:color w:val="000000"/>
      <w:sz w:val="24"/>
      <w:szCs w:val="24"/>
      <w:lang w:val="fr-FR" w:eastAsia="en-US"/>
    </w:rPr>
  </w:style>
  <w:style w:type="character" w:customStyle="1" w:styleId="mw-headline">
    <w:name w:val="mw-headline"/>
    <w:basedOn w:val="Policepardfaut"/>
    <w:rsid w:val="00F46E85"/>
  </w:style>
  <w:style w:type="character" w:customStyle="1" w:styleId="editsection">
    <w:name w:val="editsection"/>
    <w:basedOn w:val="Policepardfaut"/>
    <w:rsid w:val="00F46E85"/>
  </w:style>
  <w:style w:type="paragraph" w:customStyle="1" w:styleId="np">
    <w:name w:val="np"/>
    <w:basedOn w:val="Normal"/>
    <w:rsid w:val="0048415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encartorange1">
    <w:name w:val="encartorange1"/>
    <w:rsid w:val="00C8099B"/>
    <w:rPr>
      <w:rFonts w:ascii="Georgia" w:hAnsi="Georgia" w:hint="default"/>
      <w:b w:val="0"/>
      <w:bCs w:val="0"/>
      <w:color w:val="CC6600"/>
      <w:sz w:val="36"/>
      <w:szCs w:val="36"/>
    </w:rPr>
  </w:style>
  <w:style w:type="character" w:customStyle="1" w:styleId="encartgris1">
    <w:name w:val="encartgris1"/>
    <w:rsid w:val="00C8099B"/>
    <w:rPr>
      <w:rFonts w:ascii="Georgia" w:hAnsi="Georgia" w:hint="default"/>
      <w:b w:val="0"/>
      <w:bCs w:val="0"/>
      <w:color w:val="000000"/>
      <w:sz w:val="34"/>
      <w:szCs w:val="34"/>
      <w:bdr w:val="single" w:sz="6" w:space="5" w:color="DBE3D2" w:frame="1"/>
      <w:shd w:val="clear" w:color="auto" w:fill="F9F9F9"/>
    </w:rPr>
  </w:style>
  <w:style w:type="character" w:customStyle="1" w:styleId="nowrap1">
    <w:name w:val="nowrap1"/>
    <w:rsid w:val="00C8099B"/>
    <w:rPr>
      <w:rFonts w:ascii="Verdana" w:hAnsi="Verdana" w:hint="default"/>
    </w:rPr>
  </w:style>
  <w:style w:type="character" w:customStyle="1" w:styleId="note2">
    <w:name w:val="note2"/>
    <w:rsid w:val="00C8099B"/>
    <w:rPr>
      <w:rFonts w:ascii="Verdana" w:hAnsi="Verdana" w:hint="default"/>
      <w:vanish w:val="0"/>
      <w:webHidden w:val="0"/>
      <w:specVanish w:val="0"/>
    </w:rPr>
  </w:style>
  <w:style w:type="paragraph" w:customStyle="1" w:styleId="indent">
    <w:name w:val="indent"/>
    <w:basedOn w:val="Normal"/>
    <w:rsid w:val="00766D37"/>
    <w:pPr>
      <w:overflowPunct/>
      <w:autoSpaceDE/>
      <w:autoSpaceDN/>
      <w:adjustRightInd/>
      <w:spacing w:before="100" w:beforeAutospacing="1" w:after="100" w:afterAutospacing="1"/>
      <w:textAlignment w:val="auto"/>
    </w:pPr>
    <w:rPr>
      <w:rFonts w:ascii="Verdana" w:hAnsi="Verdana" w:cs="Times New Roman"/>
      <w:sz w:val="24"/>
      <w:szCs w:val="24"/>
      <w:lang w:eastAsia="fr-FR"/>
    </w:rPr>
  </w:style>
  <w:style w:type="paragraph" w:customStyle="1" w:styleId="hdflb">
    <w:name w:val="hdflb"/>
    <w:basedOn w:val="Normal"/>
    <w:rsid w:val="00572C37"/>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customStyle="1" w:styleId="Professionnel1">
    <w:name w:val="Professionnel1"/>
    <w:basedOn w:val="TableauNormal"/>
    <w:rsid w:val="00C63F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br2">
    <w:name w:val="nobr2"/>
    <w:basedOn w:val="Policepardfaut"/>
    <w:rsid w:val="001C3AEB"/>
  </w:style>
  <w:style w:type="character" w:styleId="Lienhypertextesuivivisit">
    <w:name w:val="FollowedHyperlink"/>
    <w:uiPriority w:val="99"/>
    <w:semiHidden/>
    <w:unhideWhenUsed/>
    <w:rsid w:val="00362D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0447">
      <w:bodyDiv w:val="1"/>
      <w:marLeft w:val="0"/>
      <w:marRight w:val="0"/>
      <w:marTop w:val="0"/>
      <w:marBottom w:val="0"/>
      <w:divBdr>
        <w:top w:val="none" w:sz="0" w:space="0" w:color="auto"/>
        <w:left w:val="none" w:sz="0" w:space="0" w:color="auto"/>
        <w:bottom w:val="none" w:sz="0" w:space="0" w:color="auto"/>
        <w:right w:val="none" w:sz="0" w:space="0" w:color="auto"/>
      </w:divBdr>
      <w:divsChild>
        <w:div w:id="695738691">
          <w:marLeft w:val="0"/>
          <w:marRight w:val="300"/>
          <w:marTop w:val="0"/>
          <w:marBottom w:val="0"/>
          <w:divBdr>
            <w:top w:val="none" w:sz="0" w:space="0" w:color="auto"/>
            <w:left w:val="none" w:sz="0" w:space="0" w:color="auto"/>
            <w:bottom w:val="none" w:sz="0" w:space="0" w:color="auto"/>
            <w:right w:val="none" w:sz="0" w:space="0" w:color="auto"/>
          </w:divBdr>
        </w:div>
      </w:divsChild>
    </w:div>
    <w:div w:id="207885931">
      <w:bodyDiv w:val="1"/>
      <w:marLeft w:val="0"/>
      <w:marRight w:val="0"/>
      <w:marTop w:val="0"/>
      <w:marBottom w:val="0"/>
      <w:divBdr>
        <w:top w:val="none" w:sz="0" w:space="0" w:color="auto"/>
        <w:left w:val="none" w:sz="0" w:space="0" w:color="auto"/>
        <w:bottom w:val="none" w:sz="0" w:space="0" w:color="auto"/>
        <w:right w:val="none" w:sz="0" w:space="0" w:color="auto"/>
      </w:divBdr>
      <w:divsChild>
        <w:div w:id="1804686986">
          <w:marLeft w:val="0"/>
          <w:marRight w:val="0"/>
          <w:marTop w:val="0"/>
          <w:marBottom w:val="0"/>
          <w:divBdr>
            <w:top w:val="none" w:sz="0" w:space="0" w:color="auto"/>
            <w:left w:val="none" w:sz="0" w:space="0" w:color="auto"/>
            <w:bottom w:val="none" w:sz="0" w:space="0" w:color="auto"/>
            <w:right w:val="none" w:sz="0" w:space="0" w:color="auto"/>
          </w:divBdr>
          <w:divsChild>
            <w:div w:id="1428500319">
              <w:marLeft w:val="0"/>
              <w:marRight w:val="0"/>
              <w:marTop w:val="0"/>
              <w:marBottom w:val="0"/>
              <w:divBdr>
                <w:top w:val="none" w:sz="0" w:space="0" w:color="auto"/>
                <w:left w:val="none" w:sz="0" w:space="0" w:color="auto"/>
                <w:bottom w:val="none" w:sz="0" w:space="0" w:color="auto"/>
                <w:right w:val="none" w:sz="0" w:space="0" w:color="auto"/>
              </w:divBdr>
              <w:divsChild>
                <w:div w:id="969097026">
                  <w:marLeft w:val="0"/>
                  <w:marRight w:val="0"/>
                  <w:marTop w:val="0"/>
                  <w:marBottom w:val="0"/>
                  <w:divBdr>
                    <w:top w:val="none" w:sz="0" w:space="0" w:color="auto"/>
                    <w:left w:val="none" w:sz="0" w:space="0" w:color="auto"/>
                    <w:bottom w:val="none" w:sz="0" w:space="0" w:color="auto"/>
                    <w:right w:val="none" w:sz="0" w:space="0" w:color="auto"/>
                  </w:divBdr>
                  <w:divsChild>
                    <w:div w:id="596982419">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21875">
      <w:bodyDiv w:val="1"/>
      <w:marLeft w:val="0"/>
      <w:marRight w:val="0"/>
      <w:marTop w:val="0"/>
      <w:marBottom w:val="0"/>
      <w:divBdr>
        <w:top w:val="none" w:sz="0" w:space="0" w:color="auto"/>
        <w:left w:val="none" w:sz="0" w:space="0" w:color="auto"/>
        <w:bottom w:val="none" w:sz="0" w:space="0" w:color="auto"/>
        <w:right w:val="none" w:sz="0" w:space="0" w:color="auto"/>
      </w:divBdr>
    </w:div>
    <w:div w:id="417018849">
      <w:bodyDiv w:val="1"/>
      <w:marLeft w:val="0"/>
      <w:marRight w:val="0"/>
      <w:marTop w:val="0"/>
      <w:marBottom w:val="0"/>
      <w:divBdr>
        <w:top w:val="none" w:sz="0" w:space="0" w:color="auto"/>
        <w:left w:val="none" w:sz="0" w:space="0" w:color="auto"/>
        <w:bottom w:val="none" w:sz="0" w:space="0" w:color="auto"/>
        <w:right w:val="none" w:sz="0" w:space="0" w:color="auto"/>
      </w:divBdr>
      <w:divsChild>
        <w:div w:id="1434089674">
          <w:marLeft w:val="0"/>
          <w:marRight w:val="0"/>
          <w:marTop w:val="0"/>
          <w:marBottom w:val="0"/>
          <w:divBdr>
            <w:top w:val="none" w:sz="0" w:space="0" w:color="auto"/>
            <w:left w:val="none" w:sz="0" w:space="0" w:color="auto"/>
            <w:bottom w:val="none" w:sz="0" w:space="0" w:color="auto"/>
            <w:right w:val="none" w:sz="0" w:space="0" w:color="auto"/>
          </w:divBdr>
          <w:divsChild>
            <w:div w:id="1456753201">
              <w:marLeft w:val="0"/>
              <w:marRight w:val="0"/>
              <w:marTop w:val="0"/>
              <w:marBottom w:val="0"/>
              <w:divBdr>
                <w:top w:val="none" w:sz="0" w:space="0" w:color="auto"/>
                <w:left w:val="none" w:sz="0" w:space="0" w:color="auto"/>
                <w:bottom w:val="none" w:sz="0" w:space="0" w:color="auto"/>
                <w:right w:val="none" w:sz="0" w:space="0" w:color="auto"/>
              </w:divBdr>
              <w:divsChild>
                <w:div w:id="1997488912">
                  <w:marLeft w:val="0"/>
                  <w:marRight w:val="0"/>
                  <w:marTop w:val="0"/>
                  <w:marBottom w:val="0"/>
                  <w:divBdr>
                    <w:top w:val="none" w:sz="0" w:space="0" w:color="auto"/>
                    <w:left w:val="none" w:sz="0" w:space="0" w:color="auto"/>
                    <w:bottom w:val="none" w:sz="0" w:space="0" w:color="auto"/>
                    <w:right w:val="none" w:sz="0" w:space="0" w:color="auto"/>
                  </w:divBdr>
                  <w:divsChild>
                    <w:div w:id="722824786">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6904">
      <w:bodyDiv w:val="1"/>
      <w:marLeft w:val="0"/>
      <w:marRight w:val="0"/>
      <w:marTop w:val="0"/>
      <w:marBottom w:val="0"/>
      <w:divBdr>
        <w:top w:val="none" w:sz="0" w:space="0" w:color="auto"/>
        <w:left w:val="none" w:sz="0" w:space="0" w:color="auto"/>
        <w:bottom w:val="none" w:sz="0" w:space="0" w:color="auto"/>
        <w:right w:val="none" w:sz="0" w:space="0" w:color="auto"/>
      </w:divBdr>
    </w:div>
    <w:div w:id="431324309">
      <w:bodyDiv w:val="1"/>
      <w:marLeft w:val="0"/>
      <w:marRight w:val="0"/>
      <w:marTop w:val="0"/>
      <w:marBottom w:val="0"/>
      <w:divBdr>
        <w:top w:val="none" w:sz="0" w:space="0" w:color="auto"/>
        <w:left w:val="none" w:sz="0" w:space="0" w:color="auto"/>
        <w:bottom w:val="none" w:sz="0" w:space="0" w:color="auto"/>
        <w:right w:val="none" w:sz="0" w:space="0" w:color="auto"/>
      </w:divBdr>
    </w:div>
    <w:div w:id="444277315">
      <w:bodyDiv w:val="1"/>
      <w:marLeft w:val="0"/>
      <w:marRight w:val="0"/>
      <w:marTop w:val="0"/>
      <w:marBottom w:val="0"/>
      <w:divBdr>
        <w:top w:val="none" w:sz="0" w:space="0" w:color="auto"/>
        <w:left w:val="none" w:sz="0" w:space="0" w:color="auto"/>
        <w:bottom w:val="none" w:sz="0" w:space="0" w:color="auto"/>
        <w:right w:val="none" w:sz="0" w:space="0" w:color="auto"/>
      </w:divBdr>
      <w:divsChild>
        <w:div w:id="1468352711">
          <w:marLeft w:val="0"/>
          <w:marRight w:val="0"/>
          <w:marTop w:val="0"/>
          <w:marBottom w:val="0"/>
          <w:divBdr>
            <w:top w:val="none" w:sz="0" w:space="0" w:color="auto"/>
            <w:left w:val="none" w:sz="0" w:space="0" w:color="auto"/>
            <w:bottom w:val="none" w:sz="0" w:space="0" w:color="auto"/>
            <w:right w:val="none" w:sz="0" w:space="0" w:color="auto"/>
          </w:divBdr>
          <w:divsChild>
            <w:div w:id="964702200">
              <w:marLeft w:val="0"/>
              <w:marRight w:val="0"/>
              <w:marTop w:val="0"/>
              <w:marBottom w:val="0"/>
              <w:divBdr>
                <w:top w:val="none" w:sz="0" w:space="0" w:color="auto"/>
                <w:left w:val="none" w:sz="0" w:space="0" w:color="auto"/>
                <w:bottom w:val="none" w:sz="0" w:space="0" w:color="auto"/>
                <w:right w:val="none" w:sz="0" w:space="0" w:color="auto"/>
              </w:divBdr>
              <w:divsChild>
                <w:div w:id="587737953">
                  <w:marLeft w:val="0"/>
                  <w:marRight w:val="0"/>
                  <w:marTop w:val="0"/>
                  <w:marBottom w:val="0"/>
                  <w:divBdr>
                    <w:top w:val="none" w:sz="0" w:space="0" w:color="auto"/>
                    <w:left w:val="none" w:sz="0" w:space="0" w:color="auto"/>
                    <w:bottom w:val="none" w:sz="0" w:space="0" w:color="auto"/>
                    <w:right w:val="none" w:sz="0" w:space="0" w:color="auto"/>
                  </w:divBdr>
                  <w:divsChild>
                    <w:div w:id="5745144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408">
      <w:bodyDiv w:val="1"/>
      <w:marLeft w:val="0"/>
      <w:marRight w:val="0"/>
      <w:marTop w:val="0"/>
      <w:marBottom w:val="0"/>
      <w:divBdr>
        <w:top w:val="none" w:sz="0" w:space="0" w:color="auto"/>
        <w:left w:val="none" w:sz="0" w:space="0" w:color="auto"/>
        <w:bottom w:val="none" w:sz="0" w:space="0" w:color="auto"/>
        <w:right w:val="none" w:sz="0" w:space="0" w:color="auto"/>
      </w:divBdr>
      <w:divsChild>
        <w:div w:id="826750977">
          <w:marLeft w:val="0"/>
          <w:marRight w:val="0"/>
          <w:marTop w:val="0"/>
          <w:marBottom w:val="0"/>
          <w:divBdr>
            <w:top w:val="none" w:sz="0" w:space="0" w:color="auto"/>
            <w:left w:val="none" w:sz="0" w:space="0" w:color="auto"/>
            <w:bottom w:val="none" w:sz="0" w:space="0" w:color="auto"/>
            <w:right w:val="none" w:sz="0" w:space="0" w:color="auto"/>
          </w:divBdr>
          <w:divsChild>
            <w:div w:id="261954817">
              <w:marLeft w:val="0"/>
              <w:marRight w:val="0"/>
              <w:marTop w:val="0"/>
              <w:marBottom w:val="0"/>
              <w:divBdr>
                <w:top w:val="none" w:sz="0" w:space="0" w:color="auto"/>
                <w:left w:val="none" w:sz="0" w:space="0" w:color="auto"/>
                <w:bottom w:val="none" w:sz="0" w:space="0" w:color="auto"/>
                <w:right w:val="none" w:sz="0" w:space="0" w:color="auto"/>
              </w:divBdr>
              <w:divsChild>
                <w:div w:id="16087202">
                  <w:marLeft w:val="0"/>
                  <w:marRight w:val="0"/>
                  <w:marTop w:val="0"/>
                  <w:marBottom w:val="0"/>
                  <w:divBdr>
                    <w:top w:val="none" w:sz="0" w:space="0" w:color="auto"/>
                    <w:left w:val="none" w:sz="0" w:space="0" w:color="auto"/>
                    <w:bottom w:val="none" w:sz="0" w:space="0" w:color="auto"/>
                    <w:right w:val="none" w:sz="0" w:space="0" w:color="auto"/>
                  </w:divBdr>
                  <w:divsChild>
                    <w:div w:id="395782781">
                      <w:marLeft w:val="2038"/>
                      <w:marRight w:val="0"/>
                      <w:marTop w:val="0"/>
                      <w:marBottom w:val="0"/>
                      <w:divBdr>
                        <w:top w:val="none" w:sz="0" w:space="0" w:color="auto"/>
                        <w:left w:val="none" w:sz="0" w:space="0" w:color="auto"/>
                        <w:bottom w:val="none" w:sz="0" w:space="0" w:color="auto"/>
                        <w:right w:val="none" w:sz="0" w:space="0" w:color="auto"/>
                      </w:divBdr>
                      <w:divsChild>
                        <w:div w:id="611019013">
                          <w:marLeft w:val="0"/>
                          <w:marRight w:val="0"/>
                          <w:marTop w:val="0"/>
                          <w:marBottom w:val="1"/>
                          <w:divBdr>
                            <w:top w:val="single" w:sz="6" w:space="6" w:color="999999"/>
                            <w:left w:val="single" w:sz="6" w:space="6" w:color="999999"/>
                            <w:bottom w:val="single" w:sz="6" w:space="3" w:color="999999"/>
                            <w:right w:val="single" w:sz="6" w:space="6" w:color="999999"/>
                          </w:divBdr>
                        </w:div>
                        <w:div w:id="787552759">
                          <w:marLeft w:val="0"/>
                          <w:marRight w:val="0"/>
                          <w:marTop w:val="0"/>
                          <w:marBottom w:val="1"/>
                          <w:divBdr>
                            <w:top w:val="single" w:sz="6" w:space="6" w:color="999999"/>
                            <w:left w:val="single" w:sz="6" w:space="6" w:color="999999"/>
                            <w:bottom w:val="single" w:sz="6" w:space="3" w:color="999999"/>
                            <w:right w:val="single" w:sz="6" w:space="6" w:color="999999"/>
                          </w:divBdr>
                        </w:div>
                      </w:divsChild>
                    </w:div>
                  </w:divsChild>
                </w:div>
              </w:divsChild>
            </w:div>
          </w:divsChild>
        </w:div>
      </w:divsChild>
    </w:div>
    <w:div w:id="495728229">
      <w:bodyDiv w:val="1"/>
      <w:marLeft w:val="0"/>
      <w:marRight w:val="0"/>
      <w:marTop w:val="0"/>
      <w:marBottom w:val="0"/>
      <w:divBdr>
        <w:top w:val="none" w:sz="0" w:space="0" w:color="auto"/>
        <w:left w:val="none" w:sz="0" w:space="0" w:color="auto"/>
        <w:bottom w:val="none" w:sz="0" w:space="0" w:color="auto"/>
        <w:right w:val="none" w:sz="0" w:space="0" w:color="auto"/>
      </w:divBdr>
      <w:divsChild>
        <w:div w:id="1428697819">
          <w:marLeft w:val="0"/>
          <w:marRight w:val="0"/>
          <w:marTop w:val="0"/>
          <w:marBottom w:val="0"/>
          <w:divBdr>
            <w:top w:val="none" w:sz="0" w:space="0" w:color="auto"/>
            <w:left w:val="none" w:sz="0" w:space="0" w:color="auto"/>
            <w:bottom w:val="none" w:sz="0" w:space="0" w:color="auto"/>
            <w:right w:val="none" w:sz="0" w:space="0" w:color="auto"/>
          </w:divBdr>
        </w:div>
      </w:divsChild>
    </w:div>
    <w:div w:id="551963929">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815026404">
              <w:marLeft w:val="0"/>
              <w:marRight w:val="0"/>
              <w:marTop w:val="0"/>
              <w:marBottom w:val="0"/>
              <w:divBdr>
                <w:top w:val="none" w:sz="0" w:space="0" w:color="auto"/>
                <w:left w:val="none" w:sz="0" w:space="0" w:color="auto"/>
                <w:bottom w:val="none" w:sz="0" w:space="0" w:color="auto"/>
                <w:right w:val="none" w:sz="0" w:space="0" w:color="auto"/>
              </w:divBdr>
              <w:divsChild>
                <w:div w:id="174923636">
                  <w:marLeft w:val="0"/>
                  <w:marRight w:val="0"/>
                  <w:marTop w:val="0"/>
                  <w:marBottom w:val="0"/>
                  <w:divBdr>
                    <w:top w:val="none" w:sz="0" w:space="0" w:color="auto"/>
                    <w:left w:val="none" w:sz="0" w:space="0" w:color="auto"/>
                    <w:bottom w:val="none" w:sz="0" w:space="0" w:color="auto"/>
                    <w:right w:val="none" w:sz="0" w:space="0" w:color="auto"/>
                  </w:divBdr>
                  <w:divsChild>
                    <w:div w:id="191531027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0506">
      <w:bodyDiv w:val="1"/>
      <w:marLeft w:val="0"/>
      <w:marRight w:val="0"/>
      <w:marTop w:val="0"/>
      <w:marBottom w:val="0"/>
      <w:divBdr>
        <w:top w:val="none" w:sz="0" w:space="0" w:color="auto"/>
        <w:left w:val="none" w:sz="0" w:space="0" w:color="auto"/>
        <w:bottom w:val="none" w:sz="0" w:space="0" w:color="auto"/>
        <w:right w:val="none" w:sz="0" w:space="0" w:color="auto"/>
      </w:divBdr>
      <w:divsChild>
        <w:div w:id="308098937">
          <w:marLeft w:val="0"/>
          <w:marRight w:val="0"/>
          <w:marTop w:val="0"/>
          <w:marBottom w:val="0"/>
          <w:divBdr>
            <w:top w:val="none" w:sz="0" w:space="0" w:color="auto"/>
            <w:left w:val="none" w:sz="0" w:space="0" w:color="auto"/>
            <w:bottom w:val="none" w:sz="0" w:space="0" w:color="auto"/>
            <w:right w:val="none" w:sz="0" w:space="0" w:color="auto"/>
          </w:divBdr>
          <w:divsChild>
            <w:div w:id="2027369796">
              <w:marLeft w:val="0"/>
              <w:marRight w:val="0"/>
              <w:marTop w:val="0"/>
              <w:marBottom w:val="0"/>
              <w:divBdr>
                <w:top w:val="none" w:sz="0" w:space="0" w:color="auto"/>
                <w:left w:val="none" w:sz="0" w:space="0" w:color="auto"/>
                <w:bottom w:val="none" w:sz="0" w:space="0" w:color="auto"/>
                <w:right w:val="none" w:sz="0" w:space="0" w:color="auto"/>
              </w:divBdr>
              <w:divsChild>
                <w:div w:id="2120878260">
                  <w:marLeft w:val="0"/>
                  <w:marRight w:val="0"/>
                  <w:marTop w:val="0"/>
                  <w:marBottom w:val="0"/>
                  <w:divBdr>
                    <w:top w:val="none" w:sz="0" w:space="0" w:color="auto"/>
                    <w:left w:val="none" w:sz="0" w:space="0" w:color="auto"/>
                    <w:bottom w:val="none" w:sz="0" w:space="0" w:color="auto"/>
                    <w:right w:val="none" w:sz="0" w:space="0" w:color="auto"/>
                  </w:divBdr>
                  <w:divsChild>
                    <w:div w:id="1710491425">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7448">
      <w:bodyDiv w:val="1"/>
      <w:marLeft w:val="0"/>
      <w:marRight w:val="0"/>
      <w:marTop w:val="0"/>
      <w:marBottom w:val="0"/>
      <w:divBdr>
        <w:top w:val="none" w:sz="0" w:space="0" w:color="auto"/>
        <w:left w:val="none" w:sz="0" w:space="0" w:color="auto"/>
        <w:bottom w:val="none" w:sz="0" w:space="0" w:color="auto"/>
        <w:right w:val="none" w:sz="0" w:space="0" w:color="auto"/>
      </w:divBdr>
      <w:divsChild>
        <w:div w:id="1568145762">
          <w:marLeft w:val="0"/>
          <w:marRight w:val="0"/>
          <w:marTop w:val="0"/>
          <w:marBottom w:val="0"/>
          <w:divBdr>
            <w:top w:val="none" w:sz="0" w:space="0" w:color="auto"/>
            <w:left w:val="none" w:sz="0" w:space="0" w:color="auto"/>
            <w:bottom w:val="none" w:sz="0" w:space="0" w:color="auto"/>
            <w:right w:val="none" w:sz="0" w:space="0" w:color="auto"/>
          </w:divBdr>
          <w:divsChild>
            <w:div w:id="313726903">
              <w:marLeft w:val="0"/>
              <w:marRight w:val="0"/>
              <w:marTop w:val="0"/>
              <w:marBottom w:val="0"/>
              <w:divBdr>
                <w:top w:val="none" w:sz="0" w:space="0" w:color="auto"/>
                <w:left w:val="none" w:sz="0" w:space="0" w:color="auto"/>
                <w:bottom w:val="none" w:sz="0" w:space="0" w:color="auto"/>
                <w:right w:val="none" w:sz="0" w:space="0" w:color="auto"/>
              </w:divBdr>
              <w:divsChild>
                <w:div w:id="487020294">
                  <w:marLeft w:val="0"/>
                  <w:marRight w:val="0"/>
                  <w:marTop w:val="0"/>
                  <w:marBottom w:val="0"/>
                  <w:divBdr>
                    <w:top w:val="none" w:sz="0" w:space="0" w:color="auto"/>
                    <w:left w:val="none" w:sz="0" w:space="0" w:color="auto"/>
                    <w:bottom w:val="none" w:sz="0" w:space="0" w:color="auto"/>
                    <w:right w:val="none" w:sz="0" w:space="0" w:color="auto"/>
                  </w:divBdr>
                  <w:divsChild>
                    <w:div w:id="16633149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066">
      <w:bodyDiv w:val="1"/>
      <w:marLeft w:val="0"/>
      <w:marRight w:val="0"/>
      <w:marTop w:val="0"/>
      <w:marBottom w:val="0"/>
      <w:divBdr>
        <w:top w:val="none" w:sz="0" w:space="0" w:color="auto"/>
        <w:left w:val="none" w:sz="0" w:space="0" w:color="auto"/>
        <w:bottom w:val="none" w:sz="0" w:space="0" w:color="auto"/>
        <w:right w:val="none" w:sz="0" w:space="0" w:color="auto"/>
      </w:divBdr>
      <w:divsChild>
        <w:div w:id="260918105">
          <w:marLeft w:val="0"/>
          <w:marRight w:val="0"/>
          <w:marTop w:val="0"/>
          <w:marBottom w:val="0"/>
          <w:divBdr>
            <w:top w:val="none" w:sz="0" w:space="0" w:color="auto"/>
            <w:left w:val="none" w:sz="0" w:space="0" w:color="auto"/>
            <w:bottom w:val="none" w:sz="0" w:space="0" w:color="auto"/>
            <w:right w:val="none" w:sz="0" w:space="0" w:color="auto"/>
          </w:divBdr>
          <w:divsChild>
            <w:div w:id="1180925231">
              <w:marLeft w:val="0"/>
              <w:marRight w:val="0"/>
              <w:marTop w:val="0"/>
              <w:marBottom w:val="0"/>
              <w:divBdr>
                <w:top w:val="none" w:sz="0" w:space="0" w:color="auto"/>
                <w:left w:val="none" w:sz="0" w:space="0" w:color="auto"/>
                <w:bottom w:val="none" w:sz="0" w:space="0" w:color="auto"/>
                <w:right w:val="none" w:sz="0" w:space="0" w:color="auto"/>
              </w:divBdr>
              <w:divsChild>
                <w:div w:id="31880712">
                  <w:marLeft w:val="0"/>
                  <w:marRight w:val="0"/>
                  <w:marTop w:val="0"/>
                  <w:marBottom w:val="0"/>
                  <w:divBdr>
                    <w:top w:val="none" w:sz="0" w:space="0" w:color="auto"/>
                    <w:left w:val="none" w:sz="0" w:space="0" w:color="auto"/>
                    <w:bottom w:val="none" w:sz="0" w:space="0" w:color="auto"/>
                    <w:right w:val="none" w:sz="0" w:space="0" w:color="auto"/>
                  </w:divBdr>
                  <w:divsChild>
                    <w:div w:id="180153687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707">
      <w:bodyDiv w:val="1"/>
      <w:marLeft w:val="0"/>
      <w:marRight w:val="0"/>
      <w:marTop w:val="0"/>
      <w:marBottom w:val="0"/>
      <w:divBdr>
        <w:top w:val="none" w:sz="0" w:space="0" w:color="auto"/>
        <w:left w:val="none" w:sz="0" w:space="0" w:color="auto"/>
        <w:bottom w:val="none" w:sz="0" w:space="0" w:color="auto"/>
        <w:right w:val="none" w:sz="0" w:space="0" w:color="auto"/>
      </w:divBdr>
      <w:divsChild>
        <w:div w:id="203564476">
          <w:marLeft w:val="0"/>
          <w:marRight w:val="0"/>
          <w:marTop w:val="0"/>
          <w:marBottom w:val="0"/>
          <w:divBdr>
            <w:top w:val="none" w:sz="0" w:space="0" w:color="auto"/>
            <w:left w:val="none" w:sz="0" w:space="0" w:color="auto"/>
            <w:bottom w:val="none" w:sz="0" w:space="0" w:color="auto"/>
            <w:right w:val="none" w:sz="0" w:space="0" w:color="auto"/>
          </w:divBdr>
          <w:divsChild>
            <w:div w:id="1879735362">
              <w:marLeft w:val="0"/>
              <w:marRight w:val="0"/>
              <w:marTop w:val="0"/>
              <w:marBottom w:val="0"/>
              <w:divBdr>
                <w:top w:val="none" w:sz="0" w:space="0" w:color="auto"/>
                <w:left w:val="none" w:sz="0" w:space="0" w:color="auto"/>
                <w:bottom w:val="none" w:sz="0" w:space="0" w:color="auto"/>
                <w:right w:val="none" w:sz="0" w:space="0" w:color="auto"/>
              </w:divBdr>
              <w:divsChild>
                <w:div w:id="665593011">
                  <w:marLeft w:val="0"/>
                  <w:marRight w:val="0"/>
                  <w:marTop w:val="0"/>
                  <w:marBottom w:val="0"/>
                  <w:divBdr>
                    <w:top w:val="none" w:sz="0" w:space="0" w:color="auto"/>
                    <w:left w:val="none" w:sz="0" w:space="0" w:color="auto"/>
                    <w:bottom w:val="none" w:sz="0" w:space="0" w:color="auto"/>
                    <w:right w:val="none" w:sz="0" w:space="0" w:color="auto"/>
                  </w:divBdr>
                  <w:divsChild>
                    <w:div w:id="20329938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2856">
      <w:bodyDiv w:val="1"/>
      <w:marLeft w:val="0"/>
      <w:marRight w:val="0"/>
      <w:marTop w:val="0"/>
      <w:marBottom w:val="0"/>
      <w:divBdr>
        <w:top w:val="none" w:sz="0" w:space="0" w:color="auto"/>
        <w:left w:val="none" w:sz="0" w:space="0" w:color="auto"/>
        <w:bottom w:val="none" w:sz="0" w:space="0" w:color="auto"/>
        <w:right w:val="none" w:sz="0" w:space="0" w:color="auto"/>
      </w:divBdr>
      <w:divsChild>
        <w:div w:id="168326200">
          <w:marLeft w:val="0"/>
          <w:marRight w:val="0"/>
          <w:marTop w:val="0"/>
          <w:marBottom w:val="0"/>
          <w:divBdr>
            <w:top w:val="none" w:sz="0" w:space="0" w:color="auto"/>
            <w:left w:val="none" w:sz="0" w:space="0" w:color="auto"/>
            <w:bottom w:val="none" w:sz="0" w:space="0" w:color="auto"/>
            <w:right w:val="none" w:sz="0" w:space="0" w:color="auto"/>
          </w:divBdr>
          <w:divsChild>
            <w:div w:id="1467814183">
              <w:marLeft w:val="300"/>
              <w:marRight w:val="300"/>
              <w:marTop w:val="300"/>
              <w:marBottom w:val="0"/>
              <w:divBdr>
                <w:top w:val="none" w:sz="0" w:space="0" w:color="auto"/>
                <w:left w:val="none" w:sz="0" w:space="0" w:color="auto"/>
                <w:bottom w:val="none" w:sz="0" w:space="0" w:color="auto"/>
                <w:right w:val="none" w:sz="0" w:space="0" w:color="auto"/>
              </w:divBdr>
              <w:divsChild>
                <w:div w:id="1199010716">
                  <w:marLeft w:val="0"/>
                  <w:marRight w:val="0"/>
                  <w:marTop w:val="0"/>
                  <w:marBottom w:val="0"/>
                  <w:divBdr>
                    <w:top w:val="none" w:sz="0" w:space="0" w:color="auto"/>
                    <w:left w:val="none" w:sz="0" w:space="0" w:color="auto"/>
                    <w:bottom w:val="none" w:sz="0" w:space="0" w:color="auto"/>
                    <w:right w:val="none" w:sz="0" w:space="0" w:color="auto"/>
                  </w:divBdr>
                  <w:divsChild>
                    <w:div w:id="14543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8550">
      <w:bodyDiv w:val="1"/>
      <w:marLeft w:val="0"/>
      <w:marRight w:val="0"/>
      <w:marTop w:val="0"/>
      <w:marBottom w:val="0"/>
      <w:divBdr>
        <w:top w:val="none" w:sz="0" w:space="0" w:color="auto"/>
        <w:left w:val="none" w:sz="0" w:space="0" w:color="auto"/>
        <w:bottom w:val="none" w:sz="0" w:space="0" w:color="auto"/>
        <w:right w:val="none" w:sz="0" w:space="0" w:color="auto"/>
      </w:divBdr>
      <w:divsChild>
        <w:div w:id="682243173">
          <w:marLeft w:val="0"/>
          <w:marRight w:val="0"/>
          <w:marTop w:val="0"/>
          <w:marBottom w:val="0"/>
          <w:divBdr>
            <w:top w:val="none" w:sz="0" w:space="0" w:color="auto"/>
            <w:left w:val="none" w:sz="0" w:space="0" w:color="auto"/>
            <w:bottom w:val="none" w:sz="0" w:space="0" w:color="auto"/>
            <w:right w:val="none" w:sz="0" w:space="0" w:color="auto"/>
          </w:divBdr>
          <w:divsChild>
            <w:div w:id="798961475">
              <w:marLeft w:val="0"/>
              <w:marRight w:val="0"/>
              <w:marTop w:val="0"/>
              <w:marBottom w:val="0"/>
              <w:divBdr>
                <w:top w:val="none" w:sz="0" w:space="0" w:color="auto"/>
                <w:left w:val="none" w:sz="0" w:space="0" w:color="auto"/>
                <w:bottom w:val="none" w:sz="0" w:space="0" w:color="auto"/>
                <w:right w:val="none" w:sz="0" w:space="0" w:color="auto"/>
              </w:divBdr>
              <w:divsChild>
                <w:div w:id="1956015867">
                  <w:marLeft w:val="0"/>
                  <w:marRight w:val="0"/>
                  <w:marTop w:val="0"/>
                  <w:marBottom w:val="0"/>
                  <w:divBdr>
                    <w:top w:val="none" w:sz="0" w:space="0" w:color="auto"/>
                    <w:left w:val="none" w:sz="0" w:space="0" w:color="auto"/>
                    <w:bottom w:val="none" w:sz="0" w:space="0" w:color="auto"/>
                    <w:right w:val="none" w:sz="0" w:space="0" w:color="auto"/>
                  </w:divBdr>
                  <w:divsChild>
                    <w:div w:id="38452456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3540">
      <w:bodyDiv w:val="1"/>
      <w:marLeft w:val="0"/>
      <w:marRight w:val="0"/>
      <w:marTop w:val="0"/>
      <w:marBottom w:val="0"/>
      <w:divBdr>
        <w:top w:val="none" w:sz="0" w:space="0" w:color="auto"/>
        <w:left w:val="none" w:sz="0" w:space="0" w:color="auto"/>
        <w:bottom w:val="none" w:sz="0" w:space="0" w:color="auto"/>
        <w:right w:val="none" w:sz="0" w:space="0" w:color="auto"/>
      </w:divBdr>
      <w:divsChild>
        <w:div w:id="674501604">
          <w:marLeft w:val="0"/>
          <w:marRight w:val="0"/>
          <w:marTop w:val="0"/>
          <w:marBottom w:val="0"/>
          <w:divBdr>
            <w:top w:val="none" w:sz="0" w:space="0" w:color="auto"/>
            <w:left w:val="none" w:sz="0" w:space="0" w:color="auto"/>
            <w:bottom w:val="none" w:sz="0" w:space="0" w:color="auto"/>
            <w:right w:val="none" w:sz="0" w:space="0" w:color="auto"/>
          </w:divBdr>
          <w:divsChild>
            <w:div w:id="317654648">
              <w:marLeft w:val="0"/>
              <w:marRight w:val="0"/>
              <w:marTop w:val="0"/>
              <w:marBottom w:val="0"/>
              <w:divBdr>
                <w:top w:val="none" w:sz="0" w:space="0" w:color="auto"/>
                <w:left w:val="none" w:sz="0" w:space="0" w:color="auto"/>
                <w:bottom w:val="none" w:sz="0" w:space="0" w:color="auto"/>
                <w:right w:val="none" w:sz="0" w:space="0" w:color="auto"/>
              </w:divBdr>
              <w:divsChild>
                <w:div w:id="96215563">
                  <w:marLeft w:val="3420"/>
                  <w:marRight w:val="3525"/>
                  <w:marTop w:val="0"/>
                  <w:marBottom w:val="0"/>
                  <w:divBdr>
                    <w:top w:val="none" w:sz="0" w:space="0" w:color="auto"/>
                    <w:left w:val="none" w:sz="0" w:space="0" w:color="auto"/>
                    <w:bottom w:val="none" w:sz="0" w:space="0" w:color="auto"/>
                    <w:right w:val="none" w:sz="0" w:space="0" w:color="auto"/>
                  </w:divBdr>
                </w:div>
              </w:divsChild>
            </w:div>
          </w:divsChild>
        </w:div>
      </w:divsChild>
    </w:div>
    <w:div w:id="869562551">
      <w:bodyDiv w:val="1"/>
      <w:marLeft w:val="0"/>
      <w:marRight w:val="0"/>
      <w:marTop w:val="0"/>
      <w:marBottom w:val="0"/>
      <w:divBdr>
        <w:top w:val="none" w:sz="0" w:space="0" w:color="auto"/>
        <w:left w:val="none" w:sz="0" w:space="0" w:color="auto"/>
        <w:bottom w:val="none" w:sz="0" w:space="0" w:color="auto"/>
        <w:right w:val="none" w:sz="0" w:space="0" w:color="auto"/>
      </w:divBdr>
      <w:divsChild>
        <w:div w:id="1223521196">
          <w:marLeft w:val="0"/>
          <w:marRight w:val="0"/>
          <w:marTop w:val="0"/>
          <w:marBottom w:val="0"/>
          <w:divBdr>
            <w:top w:val="none" w:sz="0" w:space="0" w:color="auto"/>
            <w:left w:val="none" w:sz="0" w:space="0" w:color="auto"/>
            <w:bottom w:val="none" w:sz="0" w:space="0" w:color="auto"/>
            <w:right w:val="none" w:sz="0" w:space="0" w:color="auto"/>
          </w:divBdr>
          <w:divsChild>
            <w:div w:id="1928229371">
              <w:marLeft w:val="0"/>
              <w:marRight w:val="0"/>
              <w:marTop w:val="0"/>
              <w:marBottom w:val="0"/>
              <w:divBdr>
                <w:top w:val="none" w:sz="0" w:space="0" w:color="auto"/>
                <w:left w:val="none" w:sz="0" w:space="0" w:color="auto"/>
                <w:bottom w:val="none" w:sz="0" w:space="0" w:color="auto"/>
                <w:right w:val="none" w:sz="0" w:space="0" w:color="auto"/>
              </w:divBdr>
              <w:divsChild>
                <w:div w:id="261768373">
                  <w:marLeft w:val="0"/>
                  <w:marRight w:val="0"/>
                  <w:marTop w:val="0"/>
                  <w:marBottom w:val="0"/>
                  <w:divBdr>
                    <w:top w:val="none" w:sz="0" w:space="0" w:color="auto"/>
                    <w:left w:val="none" w:sz="0" w:space="0" w:color="auto"/>
                    <w:bottom w:val="none" w:sz="0" w:space="0" w:color="auto"/>
                    <w:right w:val="none" w:sz="0" w:space="0" w:color="auto"/>
                  </w:divBdr>
                  <w:divsChild>
                    <w:div w:id="65163823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448">
      <w:bodyDiv w:val="1"/>
      <w:marLeft w:val="0"/>
      <w:marRight w:val="0"/>
      <w:marTop w:val="0"/>
      <w:marBottom w:val="0"/>
      <w:divBdr>
        <w:top w:val="none" w:sz="0" w:space="0" w:color="auto"/>
        <w:left w:val="none" w:sz="0" w:space="0" w:color="auto"/>
        <w:bottom w:val="none" w:sz="0" w:space="0" w:color="auto"/>
        <w:right w:val="none" w:sz="0" w:space="0" w:color="auto"/>
      </w:divBdr>
    </w:div>
    <w:div w:id="957099896">
      <w:bodyDiv w:val="1"/>
      <w:marLeft w:val="0"/>
      <w:marRight w:val="0"/>
      <w:marTop w:val="0"/>
      <w:marBottom w:val="0"/>
      <w:divBdr>
        <w:top w:val="none" w:sz="0" w:space="0" w:color="auto"/>
        <w:left w:val="none" w:sz="0" w:space="0" w:color="auto"/>
        <w:bottom w:val="none" w:sz="0" w:space="0" w:color="auto"/>
        <w:right w:val="none" w:sz="0" w:space="0" w:color="auto"/>
      </w:divBdr>
      <w:divsChild>
        <w:div w:id="1765684065">
          <w:marLeft w:val="0"/>
          <w:marRight w:val="0"/>
          <w:marTop w:val="0"/>
          <w:marBottom w:val="0"/>
          <w:divBdr>
            <w:top w:val="none" w:sz="0" w:space="0" w:color="auto"/>
            <w:left w:val="none" w:sz="0" w:space="0" w:color="auto"/>
            <w:bottom w:val="none" w:sz="0" w:space="0" w:color="auto"/>
            <w:right w:val="none" w:sz="0" w:space="0" w:color="auto"/>
          </w:divBdr>
          <w:divsChild>
            <w:div w:id="377626912">
              <w:marLeft w:val="0"/>
              <w:marRight w:val="0"/>
              <w:marTop w:val="0"/>
              <w:marBottom w:val="0"/>
              <w:divBdr>
                <w:top w:val="none" w:sz="0" w:space="0" w:color="auto"/>
                <w:left w:val="none" w:sz="0" w:space="0" w:color="auto"/>
                <w:bottom w:val="none" w:sz="0" w:space="0" w:color="auto"/>
                <w:right w:val="none" w:sz="0" w:space="0" w:color="auto"/>
              </w:divBdr>
              <w:divsChild>
                <w:div w:id="1474980652">
                  <w:marLeft w:val="0"/>
                  <w:marRight w:val="0"/>
                  <w:marTop w:val="0"/>
                  <w:marBottom w:val="0"/>
                  <w:divBdr>
                    <w:top w:val="none" w:sz="0" w:space="0" w:color="auto"/>
                    <w:left w:val="none" w:sz="0" w:space="0" w:color="auto"/>
                    <w:bottom w:val="none" w:sz="0" w:space="0" w:color="auto"/>
                    <w:right w:val="none" w:sz="0" w:space="0" w:color="auto"/>
                  </w:divBdr>
                  <w:divsChild>
                    <w:div w:id="6315253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75479">
      <w:bodyDiv w:val="1"/>
      <w:marLeft w:val="0"/>
      <w:marRight w:val="0"/>
      <w:marTop w:val="0"/>
      <w:marBottom w:val="0"/>
      <w:divBdr>
        <w:top w:val="none" w:sz="0" w:space="0" w:color="auto"/>
        <w:left w:val="none" w:sz="0" w:space="0" w:color="auto"/>
        <w:bottom w:val="none" w:sz="0" w:space="0" w:color="auto"/>
        <w:right w:val="none" w:sz="0" w:space="0" w:color="auto"/>
      </w:divBdr>
      <w:divsChild>
        <w:div w:id="1480851921">
          <w:marLeft w:val="0"/>
          <w:marRight w:val="0"/>
          <w:marTop w:val="0"/>
          <w:marBottom w:val="0"/>
          <w:divBdr>
            <w:top w:val="none" w:sz="0" w:space="0" w:color="auto"/>
            <w:left w:val="none" w:sz="0" w:space="0" w:color="auto"/>
            <w:bottom w:val="none" w:sz="0" w:space="0" w:color="auto"/>
            <w:right w:val="none" w:sz="0" w:space="0" w:color="auto"/>
          </w:divBdr>
          <w:divsChild>
            <w:div w:id="198133414">
              <w:marLeft w:val="0"/>
              <w:marRight w:val="0"/>
              <w:marTop w:val="0"/>
              <w:marBottom w:val="0"/>
              <w:divBdr>
                <w:top w:val="none" w:sz="0" w:space="0" w:color="auto"/>
                <w:left w:val="none" w:sz="0" w:space="0" w:color="auto"/>
                <w:bottom w:val="none" w:sz="0" w:space="0" w:color="auto"/>
                <w:right w:val="none" w:sz="0" w:space="0" w:color="auto"/>
              </w:divBdr>
              <w:divsChild>
                <w:div w:id="2025595309">
                  <w:marLeft w:val="0"/>
                  <w:marRight w:val="0"/>
                  <w:marTop w:val="0"/>
                  <w:marBottom w:val="0"/>
                  <w:divBdr>
                    <w:top w:val="none" w:sz="0" w:space="0" w:color="auto"/>
                    <w:left w:val="none" w:sz="0" w:space="0" w:color="auto"/>
                    <w:bottom w:val="none" w:sz="0" w:space="0" w:color="auto"/>
                    <w:right w:val="none" w:sz="0" w:space="0" w:color="auto"/>
                  </w:divBdr>
                  <w:divsChild>
                    <w:div w:id="6450861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0028">
      <w:bodyDiv w:val="1"/>
      <w:marLeft w:val="0"/>
      <w:marRight w:val="0"/>
      <w:marTop w:val="0"/>
      <w:marBottom w:val="0"/>
      <w:divBdr>
        <w:top w:val="none" w:sz="0" w:space="0" w:color="auto"/>
        <w:left w:val="none" w:sz="0" w:space="0" w:color="auto"/>
        <w:bottom w:val="none" w:sz="0" w:space="0" w:color="auto"/>
        <w:right w:val="none" w:sz="0" w:space="0" w:color="auto"/>
      </w:divBdr>
    </w:div>
    <w:div w:id="1362782058">
      <w:bodyDiv w:val="1"/>
      <w:marLeft w:val="0"/>
      <w:marRight w:val="0"/>
      <w:marTop w:val="0"/>
      <w:marBottom w:val="0"/>
      <w:divBdr>
        <w:top w:val="none" w:sz="0" w:space="0" w:color="auto"/>
        <w:left w:val="none" w:sz="0" w:space="0" w:color="auto"/>
        <w:bottom w:val="none" w:sz="0" w:space="0" w:color="auto"/>
        <w:right w:val="none" w:sz="0" w:space="0" w:color="auto"/>
      </w:divBdr>
    </w:div>
    <w:div w:id="1521236756">
      <w:bodyDiv w:val="1"/>
      <w:marLeft w:val="0"/>
      <w:marRight w:val="0"/>
      <w:marTop w:val="0"/>
      <w:marBottom w:val="0"/>
      <w:divBdr>
        <w:top w:val="none" w:sz="0" w:space="0" w:color="auto"/>
        <w:left w:val="none" w:sz="0" w:space="0" w:color="auto"/>
        <w:bottom w:val="none" w:sz="0" w:space="0" w:color="auto"/>
        <w:right w:val="none" w:sz="0" w:space="0" w:color="auto"/>
      </w:divBdr>
      <w:divsChild>
        <w:div w:id="1782299">
          <w:marLeft w:val="0"/>
          <w:marRight w:val="0"/>
          <w:marTop w:val="0"/>
          <w:marBottom w:val="0"/>
          <w:divBdr>
            <w:top w:val="none" w:sz="0" w:space="0" w:color="auto"/>
            <w:left w:val="none" w:sz="0" w:space="0" w:color="auto"/>
            <w:bottom w:val="none" w:sz="0" w:space="0" w:color="auto"/>
            <w:right w:val="none" w:sz="0" w:space="0" w:color="auto"/>
          </w:divBdr>
          <w:divsChild>
            <w:div w:id="1519849430">
              <w:marLeft w:val="0"/>
              <w:marRight w:val="0"/>
              <w:marTop w:val="0"/>
              <w:marBottom w:val="0"/>
              <w:divBdr>
                <w:top w:val="none" w:sz="0" w:space="0" w:color="auto"/>
                <w:left w:val="none" w:sz="0" w:space="0" w:color="auto"/>
                <w:bottom w:val="none" w:sz="0" w:space="0" w:color="auto"/>
                <w:right w:val="none" w:sz="0" w:space="0" w:color="auto"/>
              </w:divBdr>
              <w:divsChild>
                <w:div w:id="742801478">
                  <w:marLeft w:val="0"/>
                  <w:marRight w:val="0"/>
                  <w:marTop w:val="0"/>
                  <w:marBottom w:val="0"/>
                  <w:divBdr>
                    <w:top w:val="none" w:sz="0" w:space="0" w:color="auto"/>
                    <w:left w:val="none" w:sz="0" w:space="0" w:color="auto"/>
                    <w:bottom w:val="none" w:sz="0" w:space="0" w:color="auto"/>
                    <w:right w:val="none" w:sz="0" w:space="0" w:color="auto"/>
                  </w:divBdr>
                  <w:divsChild>
                    <w:div w:id="164400072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860">
      <w:bodyDiv w:val="1"/>
      <w:marLeft w:val="0"/>
      <w:marRight w:val="0"/>
      <w:marTop w:val="0"/>
      <w:marBottom w:val="0"/>
      <w:divBdr>
        <w:top w:val="none" w:sz="0" w:space="0" w:color="auto"/>
        <w:left w:val="none" w:sz="0" w:space="0" w:color="auto"/>
        <w:bottom w:val="none" w:sz="0" w:space="0" w:color="auto"/>
        <w:right w:val="none" w:sz="0" w:space="0" w:color="auto"/>
      </w:divBdr>
    </w:div>
    <w:div w:id="1597592092">
      <w:bodyDiv w:val="1"/>
      <w:marLeft w:val="0"/>
      <w:marRight w:val="0"/>
      <w:marTop w:val="0"/>
      <w:marBottom w:val="0"/>
      <w:divBdr>
        <w:top w:val="none" w:sz="0" w:space="0" w:color="auto"/>
        <w:left w:val="none" w:sz="0" w:space="0" w:color="auto"/>
        <w:bottom w:val="none" w:sz="0" w:space="0" w:color="auto"/>
        <w:right w:val="none" w:sz="0" w:space="0" w:color="auto"/>
      </w:divBdr>
      <w:divsChild>
        <w:div w:id="336344537">
          <w:marLeft w:val="0"/>
          <w:marRight w:val="0"/>
          <w:marTop w:val="0"/>
          <w:marBottom w:val="0"/>
          <w:divBdr>
            <w:top w:val="none" w:sz="0" w:space="0" w:color="auto"/>
            <w:left w:val="none" w:sz="0" w:space="0" w:color="auto"/>
            <w:bottom w:val="none" w:sz="0" w:space="0" w:color="auto"/>
            <w:right w:val="none" w:sz="0" w:space="0" w:color="auto"/>
          </w:divBdr>
          <w:divsChild>
            <w:div w:id="1645037754">
              <w:marLeft w:val="0"/>
              <w:marRight w:val="0"/>
              <w:marTop w:val="0"/>
              <w:marBottom w:val="0"/>
              <w:divBdr>
                <w:top w:val="none" w:sz="0" w:space="0" w:color="auto"/>
                <w:left w:val="none" w:sz="0" w:space="0" w:color="auto"/>
                <w:bottom w:val="none" w:sz="0" w:space="0" w:color="auto"/>
                <w:right w:val="none" w:sz="0" w:space="0" w:color="auto"/>
              </w:divBdr>
              <w:divsChild>
                <w:div w:id="472523844">
                  <w:marLeft w:val="0"/>
                  <w:marRight w:val="0"/>
                  <w:marTop w:val="0"/>
                  <w:marBottom w:val="0"/>
                  <w:divBdr>
                    <w:top w:val="none" w:sz="0" w:space="0" w:color="auto"/>
                    <w:left w:val="none" w:sz="0" w:space="0" w:color="auto"/>
                    <w:bottom w:val="none" w:sz="0" w:space="0" w:color="auto"/>
                    <w:right w:val="none" w:sz="0" w:space="0" w:color="auto"/>
                  </w:divBdr>
                  <w:divsChild>
                    <w:div w:id="1173033199">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7198867">
      <w:bodyDiv w:val="1"/>
      <w:marLeft w:val="0"/>
      <w:marRight w:val="0"/>
      <w:marTop w:val="0"/>
      <w:marBottom w:val="0"/>
      <w:divBdr>
        <w:top w:val="none" w:sz="0" w:space="0" w:color="auto"/>
        <w:left w:val="none" w:sz="0" w:space="0" w:color="auto"/>
        <w:bottom w:val="none" w:sz="0" w:space="0" w:color="auto"/>
        <w:right w:val="none" w:sz="0" w:space="0" w:color="auto"/>
      </w:divBdr>
      <w:divsChild>
        <w:div w:id="1367414251">
          <w:marLeft w:val="0"/>
          <w:marRight w:val="0"/>
          <w:marTop w:val="0"/>
          <w:marBottom w:val="0"/>
          <w:divBdr>
            <w:top w:val="none" w:sz="0" w:space="0" w:color="auto"/>
            <w:left w:val="none" w:sz="0" w:space="0" w:color="auto"/>
            <w:bottom w:val="none" w:sz="0" w:space="0" w:color="auto"/>
            <w:right w:val="none" w:sz="0" w:space="0" w:color="auto"/>
          </w:divBdr>
          <w:divsChild>
            <w:div w:id="797576298">
              <w:marLeft w:val="0"/>
              <w:marRight w:val="0"/>
              <w:marTop w:val="0"/>
              <w:marBottom w:val="0"/>
              <w:divBdr>
                <w:top w:val="none" w:sz="0" w:space="0" w:color="auto"/>
                <w:left w:val="none" w:sz="0" w:space="0" w:color="auto"/>
                <w:bottom w:val="none" w:sz="0" w:space="0" w:color="auto"/>
                <w:right w:val="none" w:sz="0" w:space="0" w:color="auto"/>
              </w:divBdr>
              <w:divsChild>
                <w:div w:id="51975454">
                  <w:marLeft w:val="0"/>
                  <w:marRight w:val="0"/>
                  <w:marTop w:val="0"/>
                  <w:marBottom w:val="0"/>
                  <w:divBdr>
                    <w:top w:val="none" w:sz="0" w:space="0" w:color="auto"/>
                    <w:left w:val="none" w:sz="0" w:space="0" w:color="auto"/>
                    <w:bottom w:val="none" w:sz="0" w:space="0" w:color="auto"/>
                    <w:right w:val="none" w:sz="0" w:space="0" w:color="auto"/>
                  </w:divBdr>
                  <w:divsChild>
                    <w:div w:id="1205408099">
                      <w:marLeft w:val="143"/>
                      <w:marRight w:val="0"/>
                      <w:marTop w:val="0"/>
                      <w:marBottom w:val="240"/>
                      <w:divBdr>
                        <w:top w:val="none" w:sz="0" w:space="0" w:color="auto"/>
                        <w:left w:val="none" w:sz="0" w:space="0" w:color="auto"/>
                        <w:bottom w:val="none" w:sz="0" w:space="0" w:color="auto"/>
                        <w:right w:val="none" w:sz="0" w:space="0" w:color="auto"/>
                      </w:divBdr>
                      <w:divsChild>
                        <w:div w:id="720714024">
                          <w:marLeft w:val="0"/>
                          <w:marRight w:val="0"/>
                          <w:marTop w:val="136"/>
                          <w:marBottom w:val="136"/>
                          <w:divBdr>
                            <w:top w:val="none" w:sz="0" w:space="0" w:color="CCCCCC"/>
                            <w:left w:val="single" w:sz="24" w:space="16" w:color="CCCCCC"/>
                            <w:bottom w:val="none" w:sz="0" w:space="0" w:color="CCCCCC"/>
                            <w:right w:val="none" w:sz="0" w:space="0" w:color="CCCCCC"/>
                          </w:divBdr>
                          <w:divsChild>
                            <w:div w:id="1669940260">
                              <w:marLeft w:val="0"/>
                              <w:marRight w:val="0"/>
                              <w:marTop w:val="0"/>
                              <w:marBottom w:val="0"/>
                              <w:divBdr>
                                <w:top w:val="none" w:sz="0" w:space="0" w:color="auto"/>
                                <w:left w:val="none" w:sz="0" w:space="0" w:color="auto"/>
                                <w:bottom w:val="none" w:sz="0" w:space="0" w:color="auto"/>
                                <w:right w:val="none" w:sz="0" w:space="0" w:color="auto"/>
                              </w:divBdr>
                            </w:div>
                          </w:divsChild>
                        </w:div>
                        <w:div w:id="1227377648">
                          <w:marLeft w:val="0"/>
                          <w:marRight w:val="0"/>
                          <w:marTop w:val="136"/>
                          <w:marBottom w:val="136"/>
                          <w:divBdr>
                            <w:top w:val="none" w:sz="0" w:space="0" w:color="CCCCCC"/>
                            <w:left w:val="single" w:sz="24" w:space="16" w:color="CCCCCC"/>
                            <w:bottom w:val="none" w:sz="0" w:space="0" w:color="CCCCCC"/>
                            <w:right w:val="none" w:sz="0" w:space="0" w:color="CCCCCC"/>
                          </w:divBdr>
                          <w:divsChild>
                            <w:div w:id="1370257548">
                              <w:marLeft w:val="0"/>
                              <w:marRight w:val="0"/>
                              <w:marTop w:val="0"/>
                              <w:marBottom w:val="0"/>
                              <w:divBdr>
                                <w:top w:val="none" w:sz="0" w:space="0" w:color="auto"/>
                                <w:left w:val="none" w:sz="0" w:space="0" w:color="auto"/>
                                <w:bottom w:val="none" w:sz="0" w:space="0" w:color="auto"/>
                                <w:right w:val="none" w:sz="0" w:space="0" w:color="auto"/>
                              </w:divBdr>
                            </w:div>
                          </w:divsChild>
                        </w:div>
                        <w:div w:id="1427922107">
                          <w:marLeft w:val="0"/>
                          <w:marRight w:val="0"/>
                          <w:marTop w:val="136"/>
                          <w:marBottom w:val="136"/>
                          <w:divBdr>
                            <w:top w:val="none" w:sz="0" w:space="0" w:color="CCCCCC"/>
                            <w:left w:val="single" w:sz="24" w:space="16" w:color="CCCCCC"/>
                            <w:bottom w:val="none" w:sz="0" w:space="0" w:color="CCCCCC"/>
                            <w:right w:val="none" w:sz="0" w:space="0" w:color="CCCCCC"/>
                          </w:divBdr>
                          <w:divsChild>
                            <w:div w:id="3984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85">
      <w:bodyDiv w:val="1"/>
      <w:marLeft w:val="0"/>
      <w:marRight w:val="0"/>
      <w:marTop w:val="0"/>
      <w:marBottom w:val="0"/>
      <w:divBdr>
        <w:top w:val="none" w:sz="0" w:space="0" w:color="auto"/>
        <w:left w:val="none" w:sz="0" w:space="0" w:color="auto"/>
        <w:bottom w:val="none" w:sz="0" w:space="0" w:color="auto"/>
        <w:right w:val="none" w:sz="0" w:space="0" w:color="auto"/>
      </w:divBdr>
      <w:divsChild>
        <w:div w:id="701826254">
          <w:marLeft w:val="0"/>
          <w:marRight w:val="0"/>
          <w:marTop w:val="0"/>
          <w:marBottom w:val="0"/>
          <w:divBdr>
            <w:top w:val="none" w:sz="0" w:space="0" w:color="auto"/>
            <w:left w:val="none" w:sz="0" w:space="0" w:color="auto"/>
            <w:bottom w:val="none" w:sz="0" w:space="0" w:color="auto"/>
            <w:right w:val="none" w:sz="0" w:space="0" w:color="auto"/>
          </w:divBdr>
        </w:div>
      </w:divsChild>
    </w:div>
    <w:div w:id="1706641941">
      <w:bodyDiv w:val="1"/>
      <w:marLeft w:val="0"/>
      <w:marRight w:val="0"/>
      <w:marTop w:val="0"/>
      <w:marBottom w:val="0"/>
      <w:divBdr>
        <w:top w:val="none" w:sz="0" w:space="0" w:color="auto"/>
        <w:left w:val="none" w:sz="0" w:space="0" w:color="auto"/>
        <w:bottom w:val="none" w:sz="0" w:space="0" w:color="auto"/>
        <w:right w:val="none" w:sz="0" w:space="0" w:color="auto"/>
      </w:divBdr>
      <w:divsChild>
        <w:div w:id="904726588">
          <w:marLeft w:val="0"/>
          <w:marRight w:val="0"/>
          <w:marTop w:val="0"/>
          <w:marBottom w:val="0"/>
          <w:divBdr>
            <w:top w:val="none" w:sz="0" w:space="0" w:color="auto"/>
            <w:left w:val="none" w:sz="0" w:space="0" w:color="auto"/>
            <w:bottom w:val="none" w:sz="0" w:space="0" w:color="auto"/>
            <w:right w:val="none" w:sz="0" w:space="0" w:color="auto"/>
          </w:divBdr>
          <w:divsChild>
            <w:div w:id="68115474">
              <w:marLeft w:val="0"/>
              <w:marRight w:val="0"/>
              <w:marTop w:val="0"/>
              <w:marBottom w:val="0"/>
              <w:divBdr>
                <w:top w:val="none" w:sz="0" w:space="0" w:color="auto"/>
                <w:left w:val="none" w:sz="0" w:space="0" w:color="auto"/>
                <w:bottom w:val="none" w:sz="0" w:space="0" w:color="auto"/>
                <w:right w:val="none" w:sz="0" w:space="0" w:color="auto"/>
              </w:divBdr>
              <w:divsChild>
                <w:div w:id="1993017928">
                  <w:marLeft w:val="0"/>
                  <w:marRight w:val="0"/>
                  <w:marTop w:val="0"/>
                  <w:marBottom w:val="0"/>
                  <w:divBdr>
                    <w:top w:val="none" w:sz="0" w:space="0" w:color="auto"/>
                    <w:left w:val="none" w:sz="0" w:space="0" w:color="auto"/>
                    <w:bottom w:val="none" w:sz="0" w:space="0" w:color="auto"/>
                    <w:right w:val="none" w:sz="0" w:space="0" w:color="auto"/>
                  </w:divBdr>
                  <w:divsChild>
                    <w:div w:id="431127620">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2269">
      <w:bodyDiv w:val="1"/>
      <w:marLeft w:val="0"/>
      <w:marRight w:val="0"/>
      <w:marTop w:val="0"/>
      <w:marBottom w:val="0"/>
      <w:divBdr>
        <w:top w:val="none" w:sz="0" w:space="0" w:color="auto"/>
        <w:left w:val="none" w:sz="0" w:space="0" w:color="auto"/>
        <w:bottom w:val="none" w:sz="0" w:space="0" w:color="auto"/>
        <w:right w:val="none" w:sz="0" w:space="0" w:color="auto"/>
      </w:divBdr>
    </w:div>
    <w:div w:id="1846705416">
      <w:bodyDiv w:val="1"/>
      <w:marLeft w:val="0"/>
      <w:marRight w:val="0"/>
      <w:marTop w:val="0"/>
      <w:marBottom w:val="0"/>
      <w:divBdr>
        <w:top w:val="none" w:sz="0" w:space="0" w:color="auto"/>
        <w:left w:val="none" w:sz="0" w:space="0" w:color="auto"/>
        <w:bottom w:val="none" w:sz="0" w:space="0" w:color="auto"/>
        <w:right w:val="none" w:sz="0" w:space="0" w:color="auto"/>
      </w:divBdr>
      <w:divsChild>
        <w:div w:id="1811701706">
          <w:marLeft w:val="0"/>
          <w:marRight w:val="0"/>
          <w:marTop w:val="0"/>
          <w:marBottom w:val="0"/>
          <w:divBdr>
            <w:top w:val="none" w:sz="0" w:space="0" w:color="auto"/>
            <w:left w:val="none" w:sz="0" w:space="0" w:color="auto"/>
            <w:bottom w:val="none" w:sz="0" w:space="0" w:color="auto"/>
            <w:right w:val="none" w:sz="0" w:space="0" w:color="auto"/>
          </w:divBdr>
          <w:divsChild>
            <w:div w:id="1707245012">
              <w:marLeft w:val="0"/>
              <w:marRight w:val="0"/>
              <w:marTop w:val="0"/>
              <w:marBottom w:val="0"/>
              <w:divBdr>
                <w:top w:val="none" w:sz="0" w:space="0" w:color="auto"/>
                <w:left w:val="none" w:sz="0" w:space="0" w:color="auto"/>
                <w:bottom w:val="none" w:sz="0" w:space="0" w:color="auto"/>
                <w:right w:val="none" w:sz="0" w:space="0" w:color="auto"/>
              </w:divBdr>
              <w:divsChild>
                <w:div w:id="1021317934">
                  <w:marLeft w:val="0"/>
                  <w:marRight w:val="0"/>
                  <w:marTop w:val="0"/>
                  <w:marBottom w:val="0"/>
                  <w:divBdr>
                    <w:top w:val="none" w:sz="0" w:space="0" w:color="auto"/>
                    <w:left w:val="none" w:sz="0" w:space="0" w:color="auto"/>
                    <w:bottom w:val="none" w:sz="0" w:space="0" w:color="auto"/>
                    <w:right w:val="none" w:sz="0" w:space="0" w:color="auto"/>
                  </w:divBdr>
                  <w:divsChild>
                    <w:div w:id="520315172">
                      <w:marLeft w:val="14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6142335">
      <w:bodyDiv w:val="1"/>
      <w:marLeft w:val="0"/>
      <w:marRight w:val="0"/>
      <w:marTop w:val="0"/>
      <w:marBottom w:val="0"/>
      <w:divBdr>
        <w:top w:val="none" w:sz="0" w:space="0" w:color="auto"/>
        <w:left w:val="none" w:sz="0" w:space="0" w:color="auto"/>
        <w:bottom w:val="none" w:sz="0" w:space="0" w:color="auto"/>
        <w:right w:val="none" w:sz="0" w:space="0" w:color="auto"/>
      </w:divBdr>
      <w:divsChild>
        <w:div w:id="1170949194">
          <w:marLeft w:val="0"/>
          <w:marRight w:val="0"/>
          <w:marTop w:val="0"/>
          <w:marBottom w:val="0"/>
          <w:divBdr>
            <w:top w:val="none" w:sz="0" w:space="0" w:color="auto"/>
            <w:left w:val="none" w:sz="0" w:space="0" w:color="auto"/>
            <w:bottom w:val="none" w:sz="0" w:space="0" w:color="auto"/>
            <w:right w:val="none" w:sz="0" w:space="0" w:color="auto"/>
          </w:divBdr>
          <w:divsChild>
            <w:div w:id="446631408">
              <w:marLeft w:val="0"/>
              <w:marRight w:val="0"/>
              <w:marTop w:val="0"/>
              <w:marBottom w:val="0"/>
              <w:divBdr>
                <w:top w:val="none" w:sz="0" w:space="0" w:color="auto"/>
                <w:left w:val="none" w:sz="0" w:space="0" w:color="auto"/>
                <w:bottom w:val="none" w:sz="0" w:space="0" w:color="auto"/>
                <w:right w:val="none" w:sz="0" w:space="0" w:color="auto"/>
              </w:divBdr>
              <w:divsChild>
                <w:div w:id="1380934116">
                  <w:marLeft w:val="0"/>
                  <w:marRight w:val="0"/>
                  <w:marTop w:val="0"/>
                  <w:marBottom w:val="0"/>
                  <w:divBdr>
                    <w:top w:val="none" w:sz="0" w:space="0" w:color="auto"/>
                    <w:left w:val="none" w:sz="0" w:space="0" w:color="auto"/>
                    <w:bottom w:val="none" w:sz="0" w:space="0" w:color="auto"/>
                    <w:right w:val="none" w:sz="0" w:space="0" w:color="auto"/>
                  </w:divBdr>
                  <w:divsChild>
                    <w:div w:id="84089427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60155">
      <w:bodyDiv w:val="1"/>
      <w:marLeft w:val="0"/>
      <w:marRight w:val="0"/>
      <w:marTop w:val="0"/>
      <w:marBottom w:val="0"/>
      <w:divBdr>
        <w:top w:val="none" w:sz="0" w:space="0" w:color="auto"/>
        <w:left w:val="none" w:sz="0" w:space="0" w:color="auto"/>
        <w:bottom w:val="none" w:sz="0" w:space="0" w:color="auto"/>
        <w:right w:val="none" w:sz="0" w:space="0" w:color="auto"/>
      </w:divBdr>
      <w:divsChild>
        <w:div w:id="507208774">
          <w:marLeft w:val="0"/>
          <w:marRight w:val="0"/>
          <w:marTop w:val="0"/>
          <w:marBottom w:val="0"/>
          <w:divBdr>
            <w:top w:val="none" w:sz="0" w:space="0" w:color="auto"/>
            <w:left w:val="none" w:sz="0" w:space="0" w:color="auto"/>
            <w:bottom w:val="none" w:sz="0" w:space="0" w:color="auto"/>
            <w:right w:val="none" w:sz="0" w:space="0" w:color="auto"/>
          </w:divBdr>
          <w:divsChild>
            <w:div w:id="1490055143">
              <w:marLeft w:val="0"/>
              <w:marRight w:val="0"/>
              <w:marTop w:val="0"/>
              <w:marBottom w:val="0"/>
              <w:divBdr>
                <w:top w:val="none" w:sz="0" w:space="0" w:color="auto"/>
                <w:left w:val="none" w:sz="0" w:space="0" w:color="auto"/>
                <w:bottom w:val="none" w:sz="0" w:space="0" w:color="auto"/>
                <w:right w:val="none" w:sz="0" w:space="0" w:color="auto"/>
              </w:divBdr>
              <w:divsChild>
                <w:div w:id="905728181">
                  <w:marLeft w:val="0"/>
                  <w:marRight w:val="0"/>
                  <w:marTop w:val="0"/>
                  <w:marBottom w:val="0"/>
                  <w:divBdr>
                    <w:top w:val="none" w:sz="0" w:space="0" w:color="auto"/>
                    <w:left w:val="none" w:sz="0" w:space="0" w:color="auto"/>
                    <w:bottom w:val="none" w:sz="0" w:space="0" w:color="auto"/>
                    <w:right w:val="none" w:sz="0" w:space="0" w:color="auto"/>
                  </w:divBdr>
                  <w:divsChild>
                    <w:div w:id="454184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7027">
      <w:bodyDiv w:val="1"/>
      <w:marLeft w:val="0"/>
      <w:marRight w:val="0"/>
      <w:marTop w:val="0"/>
      <w:marBottom w:val="0"/>
      <w:divBdr>
        <w:top w:val="none" w:sz="0" w:space="0" w:color="auto"/>
        <w:left w:val="none" w:sz="0" w:space="0" w:color="auto"/>
        <w:bottom w:val="none" w:sz="0" w:space="0" w:color="auto"/>
        <w:right w:val="none" w:sz="0" w:space="0" w:color="auto"/>
      </w:divBdr>
      <w:divsChild>
        <w:div w:id="619268768">
          <w:marLeft w:val="0"/>
          <w:marRight w:val="0"/>
          <w:marTop w:val="0"/>
          <w:marBottom w:val="0"/>
          <w:divBdr>
            <w:top w:val="none" w:sz="0" w:space="0" w:color="auto"/>
            <w:left w:val="none" w:sz="0" w:space="0" w:color="auto"/>
            <w:bottom w:val="none" w:sz="0" w:space="0" w:color="auto"/>
            <w:right w:val="none" w:sz="0" w:space="0" w:color="auto"/>
          </w:divBdr>
          <w:divsChild>
            <w:div w:id="369116032">
              <w:marLeft w:val="0"/>
              <w:marRight w:val="0"/>
              <w:marTop w:val="0"/>
              <w:marBottom w:val="0"/>
              <w:divBdr>
                <w:top w:val="none" w:sz="0" w:space="0" w:color="auto"/>
                <w:left w:val="none" w:sz="0" w:space="0" w:color="auto"/>
                <w:bottom w:val="none" w:sz="0" w:space="0" w:color="auto"/>
                <w:right w:val="none" w:sz="0" w:space="0" w:color="auto"/>
              </w:divBdr>
              <w:divsChild>
                <w:div w:id="1300577965">
                  <w:marLeft w:val="0"/>
                  <w:marRight w:val="0"/>
                  <w:marTop w:val="0"/>
                  <w:marBottom w:val="0"/>
                  <w:divBdr>
                    <w:top w:val="none" w:sz="0" w:space="0" w:color="auto"/>
                    <w:left w:val="none" w:sz="0" w:space="0" w:color="auto"/>
                    <w:bottom w:val="none" w:sz="0" w:space="0" w:color="auto"/>
                    <w:right w:val="none" w:sz="0" w:space="0" w:color="auto"/>
                  </w:divBdr>
                  <w:divsChild>
                    <w:div w:id="1596286458">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164">
      <w:bodyDiv w:val="1"/>
      <w:marLeft w:val="0"/>
      <w:marRight w:val="0"/>
      <w:marTop w:val="0"/>
      <w:marBottom w:val="0"/>
      <w:divBdr>
        <w:top w:val="none" w:sz="0" w:space="0" w:color="auto"/>
        <w:left w:val="none" w:sz="0" w:space="0" w:color="auto"/>
        <w:bottom w:val="none" w:sz="0" w:space="0" w:color="auto"/>
        <w:right w:val="none" w:sz="0" w:space="0" w:color="auto"/>
      </w:divBdr>
      <w:divsChild>
        <w:div w:id="279844121">
          <w:marLeft w:val="0"/>
          <w:marRight w:val="0"/>
          <w:marTop w:val="0"/>
          <w:marBottom w:val="0"/>
          <w:divBdr>
            <w:top w:val="none" w:sz="0" w:space="0" w:color="auto"/>
            <w:left w:val="none" w:sz="0" w:space="0" w:color="auto"/>
            <w:bottom w:val="none" w:sz="0" w:space="0" w:color="auto"/>
            <w:right w:val="none" w:sz="0" w:space="0" w:color="auto"/>
          </w:divBdr>
          <w:divsChild>
            <w:div w:id="1918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192">
      <w:bodyDiv w:val="1"/>
      <w:marLeft w:val="0"/>
      <w:marRight w:val="0"/>
      <w:marTop w:val="0"/>
      <w:marBottom w:val="0"/>
      <w:divBdr>
        <w:top w:val="none" w:sz="0" w:space="0" w:color="auto"/>
        <w:left w:val="none" w:sz="0" w:space="0" w:color="auto"/>
        <w:bottom w:val="none" w:sz="0" w:space="0" w:color="auto"/>
        <w:right w:val="none" w:sz="0" w:space="0" w:color="auto"/>
      </w:divBdr>
      <w:divsChild>
        <w:div w:id="1188134547">
          <w:marLeft w:val="0"/>
          <w:marRight w:val="0"/>
          <w:marTop w:val="0"/>
          <w:marBottom w:val="0"/>
          <w:divBdr>
            <w:top w:val="none" w:sz="0" w:space="0" w:color="auto"/>
            <w:left w:val="none" w:sz="0" w:space="0" w:color="auto"/>
            <w:bottom w:val="none" w:sz="0" w:space="0" w:color="auto"/>
            <w:right w:val="none" w:sz="0" w:space="0" w:color="auto"/>
          </w:divBdr>
          <w:divsChild>
            <w:div w:id="5443930">
              <w:marLeft w:val="0"/>
              <w:marRight w:val="0"/>
              <w:marTop w:val="0"/>
              <w:marBottom w:val="0"/>
              <w:divBdr>
                <w:top w:val="none" w:sz="0" w:space="0" w:color="auto"/>
                <w:left w:val="none" w:sz="0" w:space="0" w:color="auto"/>
                <w:bottom w:val="none" w:sz="0" w:space="0" w:color="auto"/>
                <w:right w:val="none" w:sz="0" w:space="0" w:color="auto"/>
              </w:divBdr>
              <w:divsChild>
                <w:div w:id="1073157892">
                  <w:marLeft w:val="0"/>
                  <w:marRight w:val="0"/>
                  <w:marTop w:val="0"/>
                  <w:marBottom w:val="0"/>
                  <w:divBdr>
                    <w:top w:val="none" w:sz="0" w:space="0" w:color="auto"/>
                    <w:left w:val="none" w:sz="0" w:space="0" w:color="auto"/>
                    <w:bottom w:val="none" w:sz="0" w:space="0" w:color="auto"/>
                    <w:right w:val="none" w:sz="0" w:space="0" w:color="auto"/>
                  </w:divBdr>
                  <w:divsChild>
                    <w:div w:id="10730899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7495">
      <w:bodyDiv w:val="1"/>
      <w:marLeft w:val="0"/>
      <w:marRight w:val="0"/>
      <w:marTop w:val="0"/>
      <w:marBottom w:val="0"/>
      <w:divBdr>
        <w:top w:val="none" w:sz="0" w:space="0" w:color="auto"/>
        <w:left w:val="none" w:sz="0" w:space="0" w:color="auto"/>
        <w:bottom w:val="none" w:sz="0" w:space="0" w:color="auto"/>
        <w:right w:val="none" w:sz="0" w:space="0" w:color="auto"/>
      </w:divBdr>
      <w:divsChild>
        <w:div w:id="728309288">
          <w:marLeft w:val="0"/>
          <w:marRight w:val="0"/>
          <w:marTop w:val="0"/>
          <w:marBottom w:val="0"/>
          <w:divBdr>
            <w:top w:val="none" w:sz="0" w:space="0" w:color="auto"/>
            <w:left w:val="none" w:sz="0" w:space="0" w:color="auto"/>
            <w:bottom w:val="none" w:sz="0" w:space="0" w:color="auto"/>
            <w:right w:val="none" w:sz="0" w:space="0" w:color="auto"/>
          </w:divBdr>
          <w:divsChild>
            <w:div w:id="1108546729">
              <w:marLeft w:val="0"/>
              <w:marRight w:val="0"/>
              <w:marTop w:val="0"/>
              <w:marBottom w:val="0"/>
              <w:divBdr>
                <w:top w:val="none" w:sz="0" w:space="0" w:color="auto"/>
                <w:left w:val="none" w:sz="0" w:space="0" w:color="auto"/>
                <w:bottom w:val="none" w:sz="0" w:space="0" w:color="auto"/>
                <w:right w:val="none" w:sz="0" w:space="0" w:color="auto"/>
              </w:divBdr>
              <w:divsChild>
                <w:div w:id="140585622">
                  <w:marLeft w:val="0"/>
                  <w:marRight w:val="0"/>
                  <w:marTop w:val="0"/>
                  <w:marBottom w:val="0"/>
                  <w:divBdr>
                    <w:top w:val="none" w:sz="0" w:space="0" w:color="auto"/>
                    <w:left w:val="none" w:sz="0" w:space="0" w:color="auto"/>
                    <w:bottom w:val="none" w:sz="0" w:space="0" w:color="auto"/>
                    <w:right w:val="none" w:sz="0" w:space="0" w:color="auto"/>
                  </w:divBdr>
                  <w:divsChild>
                    <w:div w:id="549879443">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8FB9-D035-4F7A-9178-519BDFE7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AMENDEMENTS IMPORTANTS AU RÉGIME FÉDÉRAL DE LA TAXE DE VENTE</vt:lpstr>
    </vt:vector>
  </TitlesOfParts>
  <Company>Groupe Servicas</Company>
  <LinksUpToDate>false</LinksUpToDate>
  <CharactersWithSpaces>15465</CharactersWithSpaces>
  <SharedDoc>false</SharedDoc>
  <HLinks>
    <vt:vector size="12" baseType="variant">
      <vt:variant>
        <vt:i4>6750245</vt:i4>
      </vt:variant>
      <vt:variant>
        <vt:i4>3</vt:i4>
      </vt:variant>
      <vt:variant>
        <vt:i4>0</vt:i4>
      </vt:variant>
      <vt:variant>
        <vt:i4>5</vt:i4>
      </vt:variant>
      <vt:variant>
        <vt:lpwstr>http://www.efficaciteenergetique.mrnf.gouv.qc.ca/mon-habitation/renoclimat/</vt:lpwstr>
      </vt:variant>
      <vt:variant>
        <vt:lpwstr/>
      </vt:variant>
      <vt:variant>
        <vt:i4>5439489</vt:i4>
      </vt:variant>
      <vt:variant>
        <vt:i4>0</vt:i4>
      </vt:variant>
      <vt:variant>
        <vt:i4>0</vt:i4>
      </vt:variant>
      <vt:variant>
        <vt:i4>5</vt:i4>
      </vt:variant>
      <vt:variant>
        <vt:lpwstr>http://www.caaquebec.com/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AMENDEMENTS IMPORTANTS AU RÉGIME FÉDÉRAL DE LA TAXE DE VENTE</dc:title>
  <dc:creator>Robert Leclerc</dc:creator>
  <cp:lastModifiedBy>Poste</cp:lastModifiedBy>
  <cp:revision>2</cp:revision>
  <cp:lastPrinted>2015-02-19T19:25:00Z</cp:lastPrinted>
  <dcterms:created xsi:type="dcterms:W3CDTF">2015-02-20T16:31:00Z</dcterms:created>
  <dcterms:modified xsi:type="dcterms:W3CDTF">2015-02-20T16:31:00Z</dcterms:modified>
</cp:coreProperties>
</file>